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3E07C4B" w:rsidR="007F526C" w:rsidRPr="002469AB" w:rsidRDefault="00621BD2" w:rsidP="002469AB">
      <w:pPr>
        <w:pStyle w:val="Heading1"/>
        <w:jc w:val="center"/>
        <w:rPr>
          <w:b/>
          <w:color w:val="000000" w:themeColor="text1"/>
        </w:rPr>
      </w:pPr>
      <w:r>
        <w:t xml:space="preserve">Victoria Power Networks                                  </w:t>
      </w:r>
      <w:r w:rsidR="00BA719E">
        <w:rPr>
          <w:b/>
          <w:color w:val="000000" w:themeColor="text1"/>
          <w:sz w:val="32"/>
        </w:rPr>
        <w:t>Governance Committee Report #</w:t>
      </w:r>
      <w:r w:rsidR="00D32561">
        <w:rPr>
          <w:b/>
          <w:color w:val="000000" w:themeColor="text1"/>
          <w:sz w:val="32"/>
        </w:rPr>
        <w:t>9</w:t>
      </w:r>
      <w:r w:rsidR="00BA719E">
        <w:rPr>
          <w:b/>
          <w:color w:val="000000" w:themeColor="text1"/>
          <w:sz w:val="32"/>
        </w:rPr>
        <w:t xml:space="preserve"> – </w:t>
      </w:r>
      <w:r w:rsidR="00D32561">
        <w:rPr>
          <w:b/>
          <w:color w:val="000000" w:themeColor="text1"/>
          <w:sz w:val="32"/>
        </w:rPr>
        <w:t>7</w:t>
      </w:r>
      <w:r w:rsidR="00D32561">
        <w:rPr>
          <w:b/>
          <w:color w:val="000000" w:themeColor="text1"/>
          <w:sz w:val="32"/>
          <w:vertAlign w:val="superscript"/>
        </w:rPr>
        <w:t>th</w:t>
      </w:r>
      <w:r w:rsidR="00BB63EA">
        <w:rPr>
          <w:b/>
          <w:color w:val="000000" w:themeColor="text1"/>
          <w:sz w:val="32"/>
        </w:rPr>
        <w:t xml:space="preserve"> Ma</w:t>
      </w:r>
      <w:r w:rsidR="00C2722A">
        <w:rPr>
          <w:b/>
          <w:color w:val="000000" w:themeColor="text1"/>
          <w:sz w:val="32"/>
        </w:rPr>
        <w:t>y</w:t>
      </w:r>
      <w:r w:rsidR="00BB63EA">
        <w:rPr>
          <w:b/>
          <w:color w:val="000000" w:themeColor="text1"/>
          <w:sz w:val="32"/>
        </w:rPr>
        <w:t xml:space="preserve"> 2020</w:t>
      </w:r>
    </w:p>
    <w:p w14:paraId="54973208" w14:textId="77777777" w:rsidR="007F526C" w:rsidRDefault="000C011B" w:rsidP="007F526C">
      <w:r>
        <w:t xml:space="preserve">This template allows each electricity distribution </w:t>
      </w:r>
      <w:r w:rsidR="001D234F">
        <w:t xml:space="preserve">business </w:t>
      </w:r>
      <w:r>
        <w:t xml:space="preserve">to report how it </w:t>
      </w:r>
      <w:r w:rsidR="007F526C">
        <w:t>is progressing against the Service Improvement Commitment</w:t>
      </w:r>
      <w:r>
        <w:t xml:space="preserve"> – that is attached</w:t>
      </w:r>
      <w:r w:rsidR="007F526C">
        <w:t>.</w:t>
      </w:r>
      <w:r w:rsidR="00FA2895">
        <w:t xml:space="preserve"> </w:t>
      </w:r>
    </w:p>
    <w:p w14:paraId="144A104F" w14:textId="77777777" w:rsidR="00054855" w:rsidRDefault="0051711A" w:rsidP="007F526C">
      <w:r>
        <w:t>In Table 1</w:t>
      </w:r>
      <w:r w:rsidR="001E28DF">
        <w:t>, distribution</w:t>
      </w:r>
      <w:r w:rsidR="00054855">
        <w:t xml:space="preserve"> businesses should report the initiatives:</w:t>
      </w:r>
    </w:p>
    <w:p w14:paraId="5009E22B" w14:textId="77777777" w:rsidR="00054855" w:rsidRDefault="00054855" w:rsidP="001D234F">
      <w:pPr>
        <w:pStyle w:val="ListParagraph"/>
        <w:numPr>
          <w:ilvl w:val="0"/>
          <w:numId w:val="39"/>
        </w:numPr>
      </w:pPr>
      <w:r>
        <w:t>completed or begun under the column ‘What have we done’</w:t>
      </w:r>
    </w:p>
    <w:p w14:paraId="276615FB" w14:textId="645BB9E3" w:rsidR="00054855" w:rsidRDefault="2FD73228" w:rsidP="001D234F">
      <w:pPr>
        <w:pStyle w:val="ListParagraph"/>
        <w:numPr>
          <w:ilvl w:val="0"/>
          <w:numId w:val="39"/>
        </w:numPr>
      </w:pPr>
      <w:r>
        <w:t xml:space="preserve">that have not yet begun under the column ‘What are we planning to do’ </w:t>
      </w:r>
    </w:p>
    <w:p w14:paraId="6AAE5B67" w14:textId="77777777" w:rsidR="00781D9F" w:rsidRPr="00781D9F" w:rsidRDefault="00781D9F" w:rsidP="00781D9F">
      <w:r>
        <w:t>In Table 2, each distribution business should report its performance against KPIs</w:t>
      </w:r>
      <w:r w:rsidR="00E72BC1">
        <w:t xml:space="preserve"> relating to outcome 2</w:t>
      </w:r>
      <w:r>
        <w:t xml:space="preserve">.  </w:t>
      </w:r>
    </w:p>
    <w:p w14:paraId="065C1230" w14:textId="77777777" w:rsidR="00054855" w:rsidRDefault="001D234F" w:rsidP="001D234F">
      <w:pPr>
        <w:pStyle w:val="Heading3"/>
      </w:pPr>
      <w:r>
        <w:t>Assessment traffic lights</w:t>
      </w:r>
    </w:p>
    <w:p w14:paraId="0B2647CE" w14:textId="77777777" w:rsidR="001E28DF" w:rsidRDefault="001D234F" w:rsidP="007F526C">
      <w:r>
        <w:t xml:space="preserve">Each distribution business should </w:t>
      </w:r>
      <w:r w:rsidR="001E28DF">
        <w:t xml:space="preserve">report overall progress toward delivering an outcome using the traffic light system. </w:t>
      </w:r>
      <w:r w:rsidR="00DE1B2A">
        <w:t xml:space="preserve">The table below indicates the criteria to meet each traffic light. </w:t>
      </w:r>
    </w:p>
    <w:tbl>
      <w:tblPr>
        <w:tblStyle w:val="TableGrid"/>
        <w:tblW w:w="0" w:type="auto"/>
        <w:tblLook w:val="04A0" w:firstRow="1" w:lastRow="0" w:firstColumn="1" w:lastColumn="0" w:noHBand="0" w:noVBand="1"/>
      </w:tblPr>
      <w:tblGrid>
        <w:gridCol w:w="4887"/>
        <w:gridCol w:w="4893"/>
      </w:tblGrid>
      <w:tr w:rsidR="00DE1B2A" w14:paraId="3721640B" w14:textId="77777777" w:rsidTr="00DE1B2A">
        <w:trPr>
          <w:cnfStyle w:val="100000000000" w:firstRow="1" w:lastRow="0" w:firstColumn="0" w:lastColumn="0" w:oddVBand="0" w:evenVBand="0" w:oddHBand="0" w:evenHBand="0" w:firstRowFirstColumn="0" w:firstRowLastColumn="0" w:lastRowFirstColumn="0" w:lastRowLastColumn="0"/>
        </w:trPr>
        <w:tc>
          <w:tcPr>
            <w:tcW w:w="4927" w:type="dxa"/>
          </w:tcPr>
          <w:p w14:paraId="216DDCB5" w14:textId="77777777" w:rsidR="00DE1B2A" w:rsidRDefault="00DE1B2A" w:rsidP="007F526C">
            <w:r>
              <w:t>Traffic light</w:t>
            </w:r>
          </w:p>
        </w:tc>
        <w:tc>
          <w:tcPr>
            <w:tcW w:w="4927" w:type="dxa"/>
          </w:tcPr>
          <w:p w14:paraId="696F7A56" w14:textId="77777777" w:rsidR="00DE1B2A" w:rsidRDefault="00DE1B2A" w:rsidP="007F526C">
            <w:r>
              <w:t xml:space="preserve">Criteria </w:t>
            </w:r>
          </w:p>
        </w:tc>
      </w:tr>
      <w:tr w:rsidR="00DE1B2A" w14:paraId="213607EA" w14:textId="77777777" w:rsidTr="00DE1B2A">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92D050"/>
          </w:tcPr>
          <w:p w14:paraId="7A3D8EC8" w14:textId="77777777" w:rsidR="00DE1B2A" w:rsidRPr="00DD64CD" w:rsidRDefault="00DE1B2A" w:rsidP="007F526C">
            <w:pPr>
              <w:rPr>
                <w:b/>
              </w:rPr>
            </w:pPr>
            <w:r w:rsidRPr="00DD64CD">
              <w:rPr>
                <w:b/>
                <w:shd w:val="clear" w:color="auto" w:fill="92D050"/>
              </w:rPr>
              <w:t>Green</w:t>
            </w:r>
            <w:r w:rsidRPr="00DD64CD">
              <w:rPr>
                <w:b/>
              </w:rPr>
              <w:t xml:space="preserve"> </w:t>
            </w:r>
          </w:p>
        </w:tc>
        <w:tc>
          <w:tcPr>
            <w:tcW w:w="4927" w:type="dxa"/>
          </w:tcPr>
          <w:p w14:paraId="36658036" w14:textId="77777777" w:rsidR="00EF714C" w:rsidRDefault="00EF714C" w:rsidP="00DB0B2F">
            <w:r>
              <w:t>All initiatives delivered or all initiatives commenced and the</w:t>
            </w:r>
            <w:r w:rsidR="00DB0B2F">
              <w:t>re is a low</w:t>
            </w:r>
            <w:r>
              <w:t xml:space="preserve"> risk of incompletion.</w:t>
            </w:r>
          </w:p>
        </w:tc>
      </w:tr>
      <w:tr w:rsidR="00DE1B2A" w14:paraId="4B9668FD" w14:textId="77777777" w:rsidTr="00DE1B2A">
        <w:trPr>
          <w:cnfStyle w:val="000000010000" w:firstRow="0" w:lastRow="0" w:firstColumn="0" w:lastColumn="0" w:oddVBand="0" w:evenVBand="0" w:oddHBand="0" w:evenHBand="1" w:firstRowFirstColumn="0" w:firstRowLastColumn="0" w:lastRowFirstColumn="0" w:lastRowLastColumn="0"/>
        </w:trPr>
        <w:tc>
          <w:tcPr>
            <w:tcW w:w="4927" w:type="dxa"/>
            <w:shd w:val="clear" w:color="auto" w:fill="FFC000"/>
          </w:tcPr>
          <w:p w14:paraId="626188F6" w14:textId="77777777" w:rsidR="00DE1B2A" w:rsidRPr="00DD64CD" w:rsidRDefault="00DE1B2A" w:rsidP="007F526C">
            <w:pPr>
              <w:rPr>
                <w:b/>
              </w:rPr>
            </w:pPr>
            <w:r w:rsidRPr="00DD64CD">
              <w:rPr>
                <w:b/>
              </w:rPr>
              <w:t>Amber</w:t>
            </w:r>
          </w:p>
        </w:tc>
        <w:tc>
          <w:tcPr>
            <w:tcW w:w="4927" w:type="dxa"/>
          </w:tcPr>
          <w:p w14:paraId="077F0728" w14:textId="77777777" w:rsidR="00DE1B2A" w:rsidRDefault="00EF714C" w:rsidP="00EF714C">
            <w:r>
              <w:t>All initiatives have commenced and there is a moderate risk that some initiatives may not be delivered within agreed timeframes.</w:t>
            </w:r>
            <w:r w:rsidR="0092146B">
              <w:t xml:space="preserve"> Or some initiatives are yet to commence.  </w:t>
            </w:r>
          </w:p>
        </w:tc>
      </w:tr>
      <w:tr w:rsidR="00DE1B2A" w14:paraId="0FF12F02" w14:textId="77777777" w:rsidTr="00DE1B2A">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FF0000"/>
          </w:tcPr>
          <w:p w14:paraId="093BD14B" w14:textId="77777777" w:rsidR="00DE1B2A" w:rsidRPr="00DD64CD" w:rsidRDefault="00DE1B2A" w:rsidP="007F526C">
            <w:pPr>
              <w:rPr>
                <w:b/>
              </w:rPr>
            </w:pPr>
            <w:r w:rsidRPr="00DD64CD">
              <w:rPr>
                <w:b/>
              </w:rPr>
              <w:t xml:space="preserve">Red </w:t>
            </w:r>
          </w:p>
        </w:tc>
        <w:tc>
          <w:tcPr>
            <w:tcW w:w="4927" w:type="dxa"/>
          </w:tcPr>
          <w:p w14:paraId="5F3E7D44" w14:textId="77777777" w:rsidR="00DE1B2A" w:rsidRDefault="00785907" w:rsidP="00785907">
            <w:r>
              <w:t xml:space="preserve">A number of initiatives have commenced and there is a significant risk that they will not be delivered within agreed timeframes. Or most initiatives have not commenced.  </w:t>
            </w:r>
          </w:p>
        </w:tc>
      </w:tr>
    </w:tbl>
    <w:p w14:paraId="0A37501D" w14:textId="77777777" w:rsidR="0072692C" w:rsidRDefault="0072692C" w:rsidP="007F526C">
      <w:pPr>
        <w:sectPr w:rsidR="0072692C" w:rsidSect="00440B4A">
          <w:headerReference w:type="default" r:id="rId12"/>
          <w:footerReference w:type="default" r:id="rId13"/>
          <w:headerReference w:type="first" r:id="rId14"/>
          <w:footerReference w:type="first" r:id="rId15"/>
          <w:type w:val="continuous"/>
          <w:pgSz w:w="11906" w:h="16838" w:code="9"/>
          <w:pgMar w:top="1134" w:right="1134" w:bottom="1134" w:left="1134" w:header="709" w:footer="692" w:gutter="0"/>
          <w:cols w:space="708"/>
          <w:titlePg/>
          <w:docGrid w:linePitch="360"/>
        </w:sectPr>
      </w:pPr>
    </w:p>
    <w:tbl>
      <w:tblPr>
        <w:tblStyle w:val="TableGrid"/>
        <w:tblW w:w="14601" w:type="dxa"/>
        <w:tblLook w:val="04A0" w:firstRow="1" w:lastRow="0" w:firstColumn="1" w:lastColumn="0" w:noHBand="0" w:noVBand="1"/>
      </w:tblPr>
      <w:tblGrid>
        <w:gridCol w:w="2001"/>
        <w:gridCol w:w="2338"/>
        <w:gridCol w:w="5406"/>
        <w:gridCol w:w="3443"/>
        <w:gridCol w:w="1413"/>
      </w:tblGrid>
      <w:tr w:rsidR="0032755F" w14:paraId="59C47C01" w14:textId="77777777" w:rsidTr="2FD73228">
        <w:trPr>
          <w:cnfStyle w:val="100000000000" w:firstRow="1" w:lastRow="0" w:firstColumn="0" w:lastColumn="0" w:oddVBand="0" w:evenVBand="0" w:oddHBand="0" w:evenHBand="0" w:firstRowFirstColumn="0" w:firstRowLastColumn="0" w:lastRowFirstColumn="0" w:lastRowLastColumn="0"/>
          <w:cantSplit/>
          <w:tblHeader/>
        </w:trPr>
        <w:tc>
          <w:tcPr>
            <w:tcW w:w="4339" w:type="dxa"/>
            <w:gridSpan w:val="2"/>
            <w:tcBorders>
              <w:right w:val="single" w:sz="4" w:space="0" w:color="FFFFFF" w:themeColor="background1"/>
            </w:tcBorders>
          </w:tcPr>
          <w:p w14:paraId="163CDCB3" w14:textId="77777777" w:rsidR="004B338E" w:rsidRDefault="00F14488" w:rsidP="00FD5C38">
            <w:pPr>
              <w:pStyle w:val="TableBody"/>
              <w:rPr>
                <w:b w:val="0"/>
              </w:rPr>
            </w:pPr>
            <w:r>
              <w:lastRenderedPageBreak/>
              <w:t>Service Improvement Commitment</w:t>
            </w:r>
            <w:r w:rsidR="004B338E">
              <w:t xml:space="preserve"> </w:t>
            </w:r>
          </w:p>
          <w:p w14:paraId="0AB554FD" w14:textId="77777777" w:rsidR="00F14488" w:rsidRPr="000B09B1" w:rsidRDefault="004B338E" w:rsidP="00FD5C38">
            <w:pPr>
              <w:pStyle w:val="TableBody"/>
            </w:pPr>
            <w:r>
              <w:t>(see Appendix A)</w:t>
            </w:r>
          </w:p>
        </w:tc>
        <w:tc>
          <w:tcPr>
            <w:tcW w:w="5406" w:type="dxa"/>
            <w:vMerge w:val="restart"/>
            <w:tcBorders>
              <w:top w:val="nil"/>
              <w:left w:val="single" w:sz="4" w:space="0" w:color="FFFFFF" w:themeColor="background1"/>
              <w:bottom w:val="single" w:sz="8" w:space="0" w:color="FFFFFF" w:themeColor="background1"/>
            </w:tcBorders>
          </w:tcPr>
          <w:p w14:paraId="60364108" w14:textId="77777777" w:rsidR="00F14488" w:rsidRDefault="00F14488" w:rsidP="00FD5C38">
            <w:pPr>
              <w:pStyle w:val="TableBody"/>
              <w:rPr>
                <w:b w:val="0"/>
              </w:rPr>
            </w:pPr>
            <w:r w:rsidRPr="000B09B1">
              <w:t xml:space="preserve">What </w:t>
            </w:r>
            <w:r>
              <w:t>ha</w:t>
            </w:r>
            <w:r w:rsidR="00740079">
              <w:t>ve we d</w:t>
            </w:r>
            <w:r>
              <w:t>one</w:t>
            </w:r>
            <w:r w:rsidR="00465FB6">
              <w:t>?</w:t>
            </w:r>
            <w:r>
              <w:t xml:space="preserve"> </w:t>
            </w:r>
          </w:p>
          <w:p w14:paraId="1B929682" w14:textId="77777777" w:rsidR="00F14488" w:rsidRPr="000C1A08" w:rsidRDefault="000C1A08" w:rsidP="00FD5C38">
            <w:pPr>
              <w:pStyle w:val="TableBody"/>
              <w:rPr>
                <w:b w:val="0"/>
              </w:rPr>
            </w:pPr>
            <w:r>
              <w:rPr>
                <w:b w:val="0"/>
              </w:rPr>
              <w:t xml:space="preserve">This </w:t>
            </w:r>
            <w:r w:rsidR="00F14488" w:rsidRPr="000C1A08">
              <w:rPr>
                <w:b w:val="0"/>
              </w:rPr>
              <w:t>column include</w:t>
            </w:r>
            <w:r>
              <w:rPr>
                <w:b w:val="0"/>
              </w:rPr>
              <w:t>s</w:t>
            </w:r>
            <w:r w:rsidR="00F14488" w:rsidRPr="000C1A08">
              <w:rPr>
                <w:b w:val="0"/>
              </w:rPr>
              <w:t xml:space="preserve"> activities from </w:t>
            </w:r>
            <w:r>
              <w:rPr>
                <w:b w:val="0"/>
              </w:rPr>
              <w:t xml:space="preserve">the </w:t>
            </w:r>
            <w:r w:rsidR="00F14488" w:rsidRPr="000C1A08">
              <w:rPr>
                <w:b w:val="0"/>
              </w:rPr>
              <w:t xml:space="preserve">SIC that </w:t>
            </w:r>
            <w:r>
              <w:rPr>
                <w:b w:val="0"/>
              </w:rPr>
              <w:t xml:space="preserve">have been </w:t>
            </w:r>
            <w:r w:rsidR="00F14488" w:rsidRPr="000C1A08">
              <w:rPr>
                <w:b w:val="0"/>
              </w:rPr>
              <w:t>completed.</w:t>
            </w:r>
          </w:p>
          <w:p w14:paraId="5DAB6C7B" w14:textId="77777777" w:rsidR="00F14488" w:rsidRPr="008E3809" w:rsidRDefault="00F14488" w:rsidP="00FD5C38">
            <w:pPr>
              <w:pStyle w:val="TableBody"/>
            </w:pPr>
          </w:p>
        </w:tc>
        <w:tc>
          <w:tcPr>
            <w:tcW w:w="3443" w:type="dxa"/>
            <w:vMerge w:val="restart"/>
            <w:tcBorders>
              <w:top w:val="nil"/>
              <w:bottom w:val="single" w:sz="8" w:space="0" w:color="FFFFFF" w:themeColor="background1"/>
              <w:right w:val="single" w:sz="4" w:space="0" w:color="FFFFFF" w:themeColor="background1"/>
            </w:tcBorders>
          </w:tcPr>
          <w:p w14:paraId="0E965E2A" w14:textId="77777777" w:rsidR="00F14488" w:rsidRDefault="00F14488" w:rsidP="00FD5C38">
            <w:pPr>
              <w:pStyle w:val="TableBody"/>
              <w:rPr>
                <w:b w:val="0"/>
              </w:rPr>
            </w:pPr>
            <w:r>
              <w:t xml:space="preserve">What </w:t>
            </w:r>
            <w:r w:rsidR="00740079">
              <w:t xml:space="preserve">are we </w:t>
            </w:r>
            <w:r>
              <w:t>planning to do</w:t>
            </w:r>
            <w:r w:rsidR="00465FB6">
              <w:t>?</w:t>
            </w:r>
          </w:p>
          <w:p w14:paraId="7A0DEA56" w14:textId="77777777" w:rsidR="00F14488" w:rsidRPr="00B66330" w:rsidRDefault="000C1A08" w:rsidP="00FD5C38">
            <w:pPr>
              <w:pStyle w:val="TableBody"/>
              <w:rPr>
                <w:b w:val="0"/>
              </w:rPr>
            </w:pPr>
            <w:r>
              <w:rPr>
                <w:b w:val="0"/>
              </w:rPr>
              <w:t>T</w:t>
            </w:r>
            <w:r w:rsidR="00F14488" w:rsidRPr="000C1A08">
              <w:rPr>
                <w:b w:val="0"/>
              </w:rPr>
              <w:t>his column include</w:t>
            </w:r>
            <w:r>
              <w:rPr>
                <w:b w:val="0"/>
              </w:rPr>
              <w:t>s</w:t>
            </w:r>
            <w:r w:rsidR="00F14488" w:rsidRPr="000C1A08">
              <w:rPr>
                <w:b w:val="0"/>
              </w:rPr>
              <w:t xml:space="preserve"> activities from SIC that are yet to begin or </w:t>
            </w:r>
            <w:r w:rsidR="00B66330">
              <w:rPr>
                <w:b w:val="0"/>
              </w:rPr>
              <w:t>are being planned</w:t>
            </w:r>
            <w:r w:rsidR="00F14488" w:rsidRPr="000C1A08">
              <w:rPr>
                <w:b w:val="0"/>
              </w:rPr>
              <w:t>.</w:t>
            </w:r>
          </w:p>
        </w:tc>
        <w:tc>
          <w:tcPr>
            <w:tcW w:w="1413" w:type="dxa"/>
            <w:vMerge w:val="restart"/>
            <w:tcBorders>
              <w:left w:val="single" w:sz="4" w:space="0" w:color="FFFFFF" w:themeColor="background1"/>
            </w:tcBorders>
          </w:tcPr>
          <w:p w14:paraId="6D05C6FD" w14:textId="77777777" w:rsidR="00F14488" w:rsidRPr="000B09B1" w:rsidRDefault="00F14488" w:rsidP="00FD5C38">
            <w:pPr>
              <w:pStyle w:val="TableBody"/>
              <w:rPr>
                <w:b w:val="0"/>
              </w:rPr>
            </w:pPr>
            <w:r>
              <w:t>Overall progress assessment</w:t>
            </w:r>
          </w:p>
        </w:tc>
      </w:tr>
      <w:tr w:rsidR="00AD719C" w14:paraId="4ED39536" w14:textId="77777777" w:rsidTr="2FD73228">
        <w:trPr>
          <w:cnfStyle w:val="100000000000" w:firstRow="1" w:lastRow="0" w:firstColumn="0" w:lastColumn="0" w:oddVBand="0" w:evenVBand="0" w:oddHBand="0" w:evenHBand="0" w:firstRowFirstColumn="0" w:firstRowLastColumn="0" w:lastRowFirstColumn="0" w:lastRowLastColumn="0"/>
          <w:cantSplit/>
          <w:tblHeader/>
        </w:trPr>
        <w:tc>
          <w:tcPr>
            <w:tcW w:w="2001" w:type="dxa"/>
          </w:tcPr>
          <w:p w14:paraId="1AA5A53E" w14:textId="77777777" w:rsidR="00F14488" w:rsidRDefault="00F14488" w:rsidP="00FD5C38">
            <w:pPr>
              <w:pStyle w:val="TableBody"/>
            </w:pPr>
            <w:r w:rsidRPr="000B09B1">
              <w:t>Outcome</w:t>
            </w:r>
            <w:r>
              <w:t xml:space="preserve"> sought</w:t>
            </w:r>
          </w:p>
        </w:tc>
        <w:tc>
          <w:tcPr>
            <w:tcW w:w="2338" w:type="dxa"/>
            <w:tcBorders>
              <w:right w:val="single" w:sz="4" w:space="0" w:color="FFFFFF" w:themeColor="background1"/>
            </w:tcBorders>
          </w:tcPr>
          <w:p w14:paraId="5E502D81" w14:textId="77777777" w:rsidR="00F14488" w:rsidRPr="000B09B1" w:rsidRDefault="00F14488" w:rsidP="00FD5C38">
            <w:pPr>
              <w:pStyle w:val="TableBody"/>
            </w:pPr>
            <w:r>
              <w:t xml:space="preserve">Commitment from </w:t>
            </w:r>
            <w:r w:rsidR="004B338E">
              <w:t>distribution business</w:t>
            </w:r>
          </w:p>
        </w:tc>
        <w:tc>
          <w:tcPr>
            <w:tcW w:w="5406" w:type="dxa"/>
            <w:vMerge/>
          </w:tcPr>
          <w:p w14:paraId="02EB378F" w14:textId="77777777" w:rsidR="00F14488" w:rsidRPr="000B09B1" w:rsidRDefault="00F14488" w:rsidP="00FD5C38">
            <w:pPr>
              <w:pStyle w:val="TableBody"/>
            </w:pPr>
          </w:p>
        </w:tc>
        <w:tc>
          <w:tcPr>
            <w:tcW w:w="3443" w:type="dxa"/>
            <w:vMerge/>
          </w:tcPr>
          <w:p w14:paraId="6A05A809" w14:textId="77777777" w:rsidR="00F14488" w:rsidRDefault="00F14488" w:rsidP="00FD5C38">
            <w:pPr>
              <w:pStyle w:val="TableBody"/>
            </w:pPr>
          </w:p>
        </w:tc>
        <w:tc>
          <w:tcPr>
            <w:tcW w:w="1413" w:type="dxa"/>
            <w:vMerge/>
          </w:tcPr>
          <w:p w14:paraId="5A39BBE3" w14:textId="77777777" w:rsidR="00F14488" w:rsidRDefault="00F14488" w:rsidP="00FD5C38">
            <w:pPr>
              <w:pStyle w:val="TableBody"/>
            </w:pPr>
          </w:p>
        </w:tc>
      </w:tr>
      <w:tr w:rsidR="00734179" w14:paraId="6E226B2A" w14:textId="77777777" w:rsidTr="2FD73228">
        <w:trPr>
          <w:cnfStyle w:val="000000100000" w:firstRow="0" w:lastRow="0" w:firstColumn="0" w:lastColumn="0" w:oddVBand="0" w:evenVBand="0" w:oddHBand="1" w:evenHBand="0" w:firstRowFirstColumn="0" w:firstRowLastColumn="0" w:lastRowFirstColumn="0" w:lastRowLastColumn="0"/>
          <w:cantSplit/>
        </w:trPr>
        <w:tc>
          <w:tcPr>
            <w:tcW w:w="2001" w:type="dxa"/>
            <w:vMerge w:val="restart"/>
          </w:tcPr>
          <w:p w14:paraId="30138A89" w14:textId="77777777" w:rsidR="00833043" w:rsidRPr="00EE2A54" w:rsidRDefault="00833043" w:rsidP="00655D9D">
            <w:pPr>
              <w:pStyle w:val="TableBody"/>
              <w:numPr>
                <w:ilvl w:val="0"/>
                <w:numId w:val="42"/>
              </w:numPr>
              <w:rPr>
                <w:color w:val="000000" w:themeColor="text1"/>
              </w:rPr>
            </w:pPr>
            <w:r w:rsidRPr="00EE2A54">
              <w:rPr>
                <w:color w:val="000000" w:themeColor="text1"/>
              </w:rPr>
              <w:t>Improving developers’ and contractors’ understanding of the DB’s policies and practices, or how they can influence them.</w:t>
            </w:r>
          </w:p>
        </w:tc>
        <w:tc>
          <w:tcPr>
            <w:tcW w:w="2338" w:type="dxa"/>
            <w:tcBorders>
              <w:right w:val="single" w:sz="4" w:space="0" w:color="FFFFFF" w:themeColor="background1"/>
            </w:tcBorders>
          </w:tcPr>
          <w:p w14:paraId="09D2887A" w14:textId="77777777" w:rsidR="00833043" w:rsidRPr="00EE2A54" w:rsidRDefault="00833043" w:rsidP="00F14488">
            <w:pPr>
              <w:pStyle w:val="TableBody"/>
              <w:rPr>
                <w:color w:val="000000" w:themeColor="text1"/>
              </w:rPr>
            </w:pPr>
            <w:r w:rsidRPr="00EE2A54">
              <w:rPr>
                <w:color w:val="000000" w:themeColor="text1"/>
              </w:rPr>
              <w:t>Ensuring website material is consistent with practices and clearly explaining each party’s roles and responsibilities</w:t>
            </w:r>
          </w:p>
          <w:p w14:paraId="41C8F396" w14:textId="77777777" w:rsidR="00833043" w:rsidRPr="00EE2A54" w:rsidRDefault="00833043" w:rsidP="00F14488">
            <w:pPr>
              <w:pStyle w:val="TableBody"/>
              <w:rPr>
                <w:color w:val="000000" w:themeColor="text1"/>
              </w:rPr>
            </w:pPr>
          </w:p>
        </w:tc>
        <w:tc>
          <w:tcPr>
            <w:tcW w:w="5406" w:type="dxa"/>
            <w:tcBorders>
              <w:top w:val="single" w:sz="8" w:space="0" w:color="FFFFFF" w:themeColor="background1"/>
              <w:left w:val="single" w:sz="4" w:space="0" w:color="FFFFFF" w:themeColor="background1"/>
              <w:bottom w:val="single" w:sz="8" w:space="0" w:color="FFFFFF" w:themeColor="background1"/>
            </w:tcBorders>
          </w:tcPr>
          <w:p w14:paraId="7EB8659F" w14:textId="4D126DBE" w:rsidR="00734179" w:rsidRPr="00734179" w:rsidRDefault="00734179" w:rsidP="00734179">
            <w:pPr>
              <w:pStyle w:val="TableParagraph"/>
              <w:numPr>
                <w:ilvl w:val="0"/>
                <w:numId w:val="47"/>
              </w:numPr>
              <w:tabs>
                <w:tab w:val="left" w:pos="526"/>
                <w:tab w:val="left" w:pos="527"/>
              </w:tabs>
              <w:spacing w:before="204"/>
              <w:ind w:right="136"/>
              <w:rPr>
                <w:rFonts w:ascii="Arial" w:hAnsi="Arial" w:cs="Arial"/>
              </w:rPr>
            </w:pPr>
            <w:r w:rsidRPr="00734179">
              <w:rPr>
                <w:rFonts w:ascii="Arial" w:hAnsi="Arial" w:cs="Arial"/>
              </w:rPr>
              <w:t xml:space="preserve">We have updated relevant material to reflect our processes and practices, highlighted key process steps and responsibilities and documented the end to end Option 2 process on our new Contestable Works </w:t>
            </w:r>
            <w:hyperlink r:id="rId16" w:history="1">
              <w:r w:rsidRPr="00734179">
                <w:rPr>
                  <w:rStyle w:val="Hyperlink"/>
                  <w:rFonts w:ascii="Arial" w:hAnsi="Arial" w:cs="Arial"/>
                </w:rPr>
                <w:t>website</w:t>
              </w:r>
            </w:hyperlink>
          </w:p>
          <w:p w14:paraId="031F7861" w14:textId="77777777" w:rsidR="00734179" w:rsidRPr="00734179" w:rsidRDefault="00734179" w:rsidP="00734179">
            <w:pPr>
              <w:pStyle w:val="TableParagraph"/>
              <w:numPr>
                <w:ilvl w:val="0"/>
                <w:numId w:val="40"/>
              </w:numPr>
              <w:tabs>
                <w:tab w:val="left" w:pos="526"/>
                <w:tab w:val="left" w:pos="527"/>
              </w:tabs>
              <w:spacing w:before="204"/>
              <w:ind w:right="136"/>
              <w:rPr>
                <w:rFonts w:ascii="Arial" w:hAnsi="Arial" w:cs="Arial"/>
              </w:rPr>
            </w:pPr>
            <w:r w:rsidRPr="00734179">
              <w:rPr>
                <w:rFonts w:ascii="Arial" w:hAnsi="Arial" w:cs="Arial"/>
              </w:rPr>
              <w:t>Developed and implemented new customer first contact email which now includes info to guide their</w:t>
            </w:r>
            <w:r w:rsidRPr="00734179">
              <w:rPr>
                <w:rFonts w:ascii="Arial" w:hAnsi="Arial" w:cs="Arial"/>
                <w:spacing w:val="-3"/>
              </w:rPr>
              <w:t xml:space="preserve"> </w:t>
            </w:r>
            <w:r w:rsidRPr="00734179">
              <w:rPr>
                <w:rFonts w:ascii="Arial" w:hAnsi="Arial" w:cs="Arial"/>
              </w:rPr>
              <w:t>application</w:t>
            </w:r>
          </w:p>
          <w:p w14:paraId="1FFFCDED" w14:textId="77777777" w:rsidR="00734179" w:rsidRPr="00734179" w:rsidRDefault="00734179" w:rsidP="00734179">
            <w:pPr>
              <w:pStyle w:val="TableParagraph"/>
              <w:numPr>
                <w:ilvl w:val="0"/>
                <w:numId w:val="40"/>
              </w:numPr>
              <w:tabs>
                <w:tab w:val="left" w:pos="526"/>
                <w:tab w:val="left" w:pos="527"/>
              </w:tabs>
              <w:spacing w:before="204"/>
              <w:ind w:right="136"/>
              <w:rPr>
                <w:rFonts w:ascii="Arial" w:hAnsi="Arial" w:cs="Arial"/>
              </w:rPr>
            </w:pPr>
            <w:r w:rsidRPr="00395400">
              <w:rPr>
                <w:rFonts w:ascii="Arial" w:hAnsi="Arial" w:cs="Arial"/>
              </w:rPr>
              <w:t xml:space="preserve">We have launched the fast-track tie in process and updated our </w:t>
            </w:r>
            <w:hyperlink r:id="rId17" w:history="1">
              <w:r w:rsidRPr="00395400">
                <w:rPr>
                  <w:rStyle w:val="Hyperlink"/>
                  <w:rFonts w:ascii="Arial" w:hAnsi="Arial" w:cs="Arial"/>
                </w:rPr>
                <w:t>website</w:t>
              </w:r>
            </w:hyperlink>
          </w:p>
          <w:p w14:paraId="5C70A460" w14:textId="7266B1E8" w:rsidR="00A31DE8" w:rsidRPr="00734179" w:rsidRDefault="00734179" w:rsidP="00734179">
            <w:pPr>
              <w:pStyle w:val="TableParagraph"/>
              <w:numPr>
                <w:ilvl w:val="0"/>
                <w:numId w:val="40"/>
              </w:numPr>
              <w:tabs>
                <w:tab w:val="left" w:pos="526"/>
                <w:tab w:val="left" w:pos="527"/>
              </w:tabs>
              <w:spacing w:before="204"/>
              <w:ind w:right="136"/>
              <w:rPr>
                <w:rFonts w:ascii="Arial" w:hAnsi="Arial" w:cs="Arial"/>
              </w:rPr>
            </w:pPr>
            <w:r w:rsidRPr="00395400">
              <w:rPr>
                <w:rFonts w:ascii="Arial" w:hAnsi="Arial" w:cs="Arial"/>
              </w:rPr>
              <w:t xml:space="preserve">We have launched the Master Plan review process and updated our </w:t>
            </w:r>
            <w:hyperlink r:id="rId18" w:history="1">
              <w:r w:rsidRPr="00395400">
                <w:rPr>
                  <w:rStyle w:val="Hyperlink"/>
                  <w:rFonts w:ascii="Arial" w:hAnsi="Arial" w:cs="Arial"/>
                </w:rPr>
                <w:t>website</w:t>
              </w:r>
            </w:hyperlink>
            <w:r w:rsidRPr="00395400">
              <w:rPr>
                <w:rFonts w:ascii="Arial" w:hAnsi="Arial" w:cs="Arial"/>
              </w:rPr>
              <w:t xml:space="preserve"> as well as communicating directly with relevant industry participants</w:t>
            </w: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0D0B940D" w14:textId="1F05B61E" w:rsidR="00633ED6" w:rsidRDefault="00633ED6" w:rsidP="009F1F66">
            <w:pPr>
              <w:pStyle w:val="ListBullet"/>
              <w:spacing w:line="240" w:lineRule="auto"/>
            </w:pPr>
            <w:r>
              <w:t>We will continue to seek feedback from industry and update the website as required</w:t>
            </w:r>
          </w:p>
          <w:p w14:paraId="392862BB" w14:textId="77777777" w:rsidR="009F1F66" w:rsidRPr="002469AB" w:rsidRDefault="009F1F66" w:rsidP="009F1F66">
            <w:pPr>
              <w:pStyle w:val="ListBullet"/>
              <w:numPr>
                <w:ilvl w:val="0"/>
                <w:numId w:val="0"/>
              </w:numPr>
              <w:spacing w:line="240" w:lineRule="auto"/>
              <w:ind w:left="284"/>
            </w:pPr>
          </w:p>
          <w:p w14:paraId="1779158A" w14:textId="77777777" w:rsidR="000A5C02" w:rsidRDefault="000A5C02" w:rsidP="000A5C02">
            <w:pPr>
              <w:pStyle w:val="TableBody"/>
              <w:rPr>
                <w:rFonts w:asciiTheme="majorHAnsi" w:hAnsiTheme="majorHAnsi" w:cstheme="majorBidi"/>
                <w:color w:val="000000" w:themeColor="text1"/>
              </w:rPr>
            </w:pPr>
          </w:p>
          <w:p w14:paraId="60061E4C" w14:textId="25ECF7F6" w:rsidR="00833043" w:rsidRPr="002469AB" w:rsidRDefault="00833043" w:rsidP="002469AB">
            <w:pPr>
              <w:pStyle w:val="ListParagraph"/>
              <w:numPr>
                <w:ilvl w:val="0"/>
                <w:numId w:val="0"/>
              </w:numPr>
              <w:ind w:left="284"/>
            </w:pPr>
          </w:p>
        </w:tc>
        <w:tc>
          <w:tcPr>
            <w:tcW w:w="1413" w:type="dxa"/>
            <w:tcBorders>
              <w:left w:val="single" w:sz="4" w:space="0" w:color="FFFFFF" w:themeColor="background1"/>
            </w:tcBorders>
            <w:shd w:val="clear" w:color="auto" w:fill="92D050"/>
          </w:tcPr>
          <w:p w14:paraId="4F4B748F" w14:textId="77777777" w:rsidR="00833043" w:rsidRPr="00EE2A54" w:rsidRDefault="00A31DE8" w:rsidP="00FD5C38">
            <w:pPr>
              <w:pStyle w:val="TableBody"/>
              <w:rPr>
                <w:color w:val="000000" w:themeColor="text1"/>
              </w:rPr>
            </w:pPr>
            <w:r>
              <w:rPr>
                <w:color w:val="000000" w:themeColor="text1"/>
              </w:rPr>
              <w:t>On-Going</w:t>
            </w:r>
          </w:p>
        </w:tc>
      </w:tr>
      <w:tr w:rsidR="00734179" w14:paraId="37D8BFB6" w14:textId="77777777" w:rsidTr="2FD73228">
        <w:trPr>
          <w:cnfStyle w:val="000000010000" w:firstRow="0" w:lastRow="0" w:firstColumn="0" w:lastColumn="0" w:oddVBand="0" w:evenVBand="0" w:oddHBand="0" w:evenHBand="1" w:firstRowFirstColumn="0" w:firstRowLastColumn="0" w:lastRowFirstColumn="0" w:lastRowLastColumn="0"/>
          <w:cantSplit/>
        </w:trPr>
        <w:tc>
          <w:tcPr>
            <w:tcW w:w="2001" w:type="dxa"/>
            <w:vMerge/>
          </w:tcPr>
          <w:p w14:paraId="44EAFD9C" w14:textId="77777777" w:rsidR="00833043" w:rsidRPr="000C69D4" w:rsidRDefault="00833043" w:rsidP="00FD5C38">
            <w:pPr>
              <w:pStyle w:val="TableBody"/>
              <w:rPr>
                <w:color w:val="FF0000"/>
              </w:rPr>
            </w:pPr>
          </w:p>
        </w:tc>
        <w:tc>
          <w:tcPr>
            <w:tcW w:w="2338" w:type="dxa"/>
            <w:tcBorders>
              <w:right w:val="single" w:sz="4" w:space="0" w:color="FFFFFF" w:themeColor="background1"/>
            </w:tcBorders>
          </w:tcPr>
          <w:p w14:paraId="158FDE44" w14:textId="77777777" w:rsidR="00833043" w:rsidRPr="00EE2A54" w:rsidRDefault="00833043" w:rsidP="00F14488">
            <w:pPr>
              <w:pStyle w:val="TableBody"/>
              <w:rPr>
                <w:color w:val="000000" w:themeColor="text1"/>
              </w:rPr>
            </w:pPr>
            <w:r w:rsidRPr="00EE2A54">
              <w:rPr>
                <w:color w:val="000000" w:themeColor="text1"/>
              </w:rPr>
              <w:t>Identifying opportunities for stakeholder participation in regulatory decisions</w:t>
            </w:r>
          </w:p>
        </w:tc>
        <w:tc>
          <w:tcPr>
            <w:tcW w:w="5406" w:type="dxa"/>
            <w:tcBorders>
              <w:top w:val="single" w:sz="8" w:space="0" w:color="FFFFFF" w:themeColor="background1"/>
              <w:left w:val="single" w:sz="4" w:space="0" w:color="FFFFFF" w:themeColor="background1"/>
              <w:bottom w:val="single" w:sz="8" w:space="0" w:color="FFFFFF" w:themeColor="background1"/>
            </w:tcBorders>
          </w:tcPr>
          <w:p w14:paraId="2AD260FF" w14:textId="77777777" w:rsidR="00A31DE8" w:rsidRPr="00734179" w:rsidRDefault="00A31DE8" w:rsidP="00A31DE8">
            <w:pPr>
              <w:pStyle w:val="TableBody"/>
              <w:numPr>
                <w:ilvl w:val="0"/>
                <w:numId w:val="40"/>
              </w:numPr>
              <w:spacing w:before="120"/>
              <w:ind w:left="402" w:hanging="357"/>
              <w:rPr>
                <w:rFonts w:ascii="Arial" w:hAnsi="Arial" w:cs="Arial"/>
              </w:rPr>
            </w:pPr>
            <w:r w:rsidRPr="00734179">
              <w:rPr>
                <w:rFonts w:ascii="Arial" w:hAnsi="Arial" w:cs="Arial"/>
              </w:rPr>
              <w:t xml:space="preserve">Developed a consolidated stakeholder management plan for all contestable works stakeholders </w:t>
            </w:r>
          </w:p>
          <w:p w14:paraId="4B94D5A5" w14:textId="2D0A5B82" w:rsidR="00833043" w:rsidRPr="00734179" w:rsidRDefault="006565C1" w:rsidP="00734179">
            <w:pPr>
              <w:pStyle w:val="TableBody"/>
              <w:numPr>
                <w:ilvl w:val="0"/>
                <w:numId w:val="40"/>
              </w:numPr>
              <w:spacing w:before="120"/>
              <w:ind w:left="402" w:hanging="357"/>
              <w:rPr>
                <w:rFonts w:ascii="Arial" w:hAnsi="Arial" w:cs="Arial"/>
              </w:rPr>
            </w:pPr>
            <w:r w:rsidRPr="00734179">
              <w:rPr>
                <w:rFonts w:ascii="Arial" w:hAnsi="Arial" w:cs="Arial"/>
              </w:rPr>
              <w:t xml:space="preserve">As part of our Regulatory Reset draft submission for the 2021-25 period we </w:t>
            </w:r>
            <w:r w:rsidR="009B3DEB" w:rsidRPr="00734179">
              <w:rPr>
                <w:rFonts w:ascii="Arial" w:hAnsi="Arial" w:cs="Arial"/>
              </w:rPr>
              <w:t xml:space="preserve">reached out to ~5,000 customers and stakeholders </w:t>
            </w:r>
            <w:r w:rsidR="00633ED6" w:rsidRPr="00734179">
              <w:rPr>
                <w:rFonts w:ascii="Arial" w:hAnsi="Arial" w:cs="Arial"/>
              </w:rPr>
              <w:t xml:space="preserve">to assist us develop our proposal as well as </w:t>
            </w:r>
            <w:r w:rsidRPr="00734179">
              <w:rPr>
                <w:rFonts w:ascii="Arial" w:hAnsi="Arial" w:cs="Arial"/>
              </w:rPr>
              <w:t>sought feedback</w:t>
            </w:r>
            <w:r w:rsidR="00633ED6" w:rsidRPr="00734179">
              <w:rPr>
                <w:rFonts w:ascii="Arial" w:hAnsi="Arial" w:cs="Arial"/>
              </w:rPr>
              <w:t xml:space="preserve"> from customers and stakeholders on the draft report once it was completed via our Talking Electricity website </w:t>
            </w:r>
            <w:hyperlink r:id="rId19" w:history="1">
              <w:r w:rsidR="00633ED6" w:rsidRPr="00734179">
                <w:rPr>
                  <w:rStyle w:val="Hyperlink"/>
                  <w:rFonts w:ascii="Arial" w:hAnsi="Arial" w:cs="Arial"/>
                </w:rPr>
                <w:t>www.talkingelectricity.com.au/contact-us</w:t>
              </w:r>
            </w:hyperlink>
            <w:r w:rsidR="00633ED6" w:rsidRPr="00734179">
              <w:rPr>
                <w:rFonts w:ascii="Arial" w:hAnsi="Arial" w:cs="Arial"/>
              </w:rPr>
              <w:t xml:space="preserve"> </w:t>
            </w: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3DEEC669" w14:textId="77777777" w:rsidR="00833043" w:rsidRPr="00EE2A54" w:rsidRDefault="00833043" w:rsidP="00633ED6">
            <w:pPr>
              <w:pStyle w:val="TableBody"/>
              <w:rPr>
                <w:color w:val="000000" w:themeColor="text1"/>
              </w:rPr>
            </w:pPr>
          </w:p>
        </w:tc>
        <w:tc>
          <w:tcPr>
            <w:tcW w:w="1413" w:type="dxa"/>
            <w:tcBorders>
              <w:left w:val="single" w:sz="4" w:space="0" w:color="FFFFFF" w:themeColor="background1"/>
            </w:tcBorders>
            <w:shd w:val="clear" w:color="auto" w:fill="92D050"/>
          </w:tcPr>
          <w:p w14:paraId="65B61C32" w14:textId="77777777" w:rsidR="00833043" w:rsidRPr="00EE2A54" w:rsidRDefault="00F1244D" w:rsidP="00FD5C38">
            <w:pPr>
              <w:pStyle w:val="TableBody"/>
              <w:rPr>
                <w:color w:val="000000" w:themeColor="text1"/>
              </w:rPr>
            </w:pPr>
            <w:r>
              <w:rPr>
                <w:color w:val="000000" w:themeColor="text1"/>
              </w:rPr>
              <w:t>On track</w:t>
            </w:r>
          </w:p>
        </w:tc>
      </w:tr>
      <w:tr w:rsidR="00734179" w14:paraId="7995C1FF" w14:textId="77777777" w:rsidTr="2FD73228">
        <w:trPr>
          <w:cnfStyle w:val="000000100000" w:firstRow="0" w:lastRow="0" w:firstColumn="0" w:lastColumn="0" w:oddVBand="0" w:evenVBand="0" w:oddHBand="1" w:evenHBand="0" w:firstRowFirstColumn="0" w:firstRowLastColumn="0" w:lastRowFirstColumn="0" w:lastRowLastColumn="0"/>
          <w:cantSplit/>
        </w:trPr>
        <w:tc>
          <w:tcPr>
            <w:tcW w:w="2001" w:type="dxa"/>
            <w:vMerge/>
          </w:tcPr>
          <w:p w14:paraId="3656B9AB" w14:textId="77777777" w:rsidR="00833043" w:rsidRPr="000C69D4" w:rsidRDefault="00833043" w:rsidP="00FD5C38">
            <w:pPr>
              <w:pStyle w:val="TableBody"/>
              <w:rPr>
                <w:color w:val="FF0000"/>
              </w:rPr>
            </w:pPr>
          </w:p>
        </w:tc>
        <w:tc>
          <w:tcPr>
            <w:tcW w:w="2338" w:type="dxa"/>
            <w:tcBorders>
              <w:right w:val="single" w:sz="4" w:space="0" w:color="FFFFFF" w:themeColor="background1"/>
            </w:tcBorders>
          </w:tcPr>
          <w:p w14:paraId="1E9AD1D9" w14:textId="77777777" w:rsidR="00833043" w:rsidRPr="00EE2A54" w:rsidRDefault="00833043" w:rsidP="00F14488">
            <w:pPr>
              <w:pStyle w:val="TableBody"/>
              <w:rPr>
                <w:color w:val="000000" w:themeColor="text1"/>
              </w:rPr>
            </w:pPr>
            <w:r w:rsidRPr="00EE2A54">
              <w:rPr>
                <w:color w:val="000000" w:themeColor="text1"/>
              </w:rPr>
              <w:t>Developing two way communications with developers</w:t>
            </w:r>
          </w:p>
        </w:tc>
        <w:tc>
          <w:tcPr>
            <w:tcW w:w="5406" w:type="dxa"/>
            <w:tcBorders>
              <w:top w:val="single" w:sz="8" w:space="0" w:color="FFFFFF" w:themeColor="background1"/>
              <w:left w:val="single" w:sz="4" w:space="0" w:color="FFFFFF" w:themeColor="background1"/>
              <w:bottom w:val="single" w:sz="8" w:space="0" w:color="FFFFFF" w:themeColor="background1"/>
            </w:tcBorders>
          </w:tcPr>
          <w:p w14:paraId="2C5A5C4E" w14:textId="6F84A336" w:rsidR="00506756" w:rsidRPr="00734179" w:rsidRDefault="00E64929" w:rsidP="002469AB">
            <w:pPr>
              <w:pStyle w:val="TableBody"/>
              <w:numPr>
                <w:ilvl w:val="0"/>
                <w:numId w:val="40"/>
              </w:numPr>
              <w:spacing w:before="120"/>
              <w:ind w:left="402" w:hanging="357"/>
              <w:rPr>
                <w:rFonts w:ascii="Arial" w:hAnsi="Arial" w:cs="Arial"/>
              </w:rPr>
            </w:pPr>
            <w:r w:rsidRPr="00734179">
              <w:rPr>
                <w:rFonts w:ascii="Arial" w:hAnsi="Arial" w:cs="Arial"/>
              </w:rPr>
              <w:t xml:space="preserve">We have established a Contestable Works Consultative Committee (CWCC). </w:t>
            </w:r>
            <w:r w:rsidR="00506756" w:rsidRPr="00734179">
              <w:rPr>
                <w:rFonts w:ascii="Arial" w:hAnsi="Arial" w:cs="Arial"/>
              </w:rPr>
              <w:t>The second Contestable Works Consultative Committee (CWCC) meeting was held on 4</w:t>
            </w:r>
            <w:r w:rsidR="00506756" w:rsidRPr="00734179">
              <w:rPr>
                <w:rFonts w:ascii="Arial" w:hAnsi="Arial" w:cs="Arial"/>
                <w:vertAlign w:val="superscript"/>
              </w:rPr>
              <w:t>th</w:t>
            </w:r>
            <w:r w:rsidR="00506756" w:rsidRPr="00734179">
              <w:rPr>
                <w:rFonts w:ascii="Arial" w:hAnsi="Arial" w:cs="Arial"/>
              </w:rPr>
              <w:t xml:space="preserve"> June 2019. Minutes are available on our </w:t>
            </w:r>
            <w:hyperlink r:id="rId20" w:history="1">
              <w:r w:rsidR="00506756" w:rsidRPr="00734179">
                <w:rPr>
                  <w:rStyle w:val="Hyperlink"/>
                  <w:rFonts w:ascii="Arial" w:hAnsi="Arial" w:cs="Arial"/>
                </w:rPr>
                <w:t>website</w:t>
              </w:r>
            </w:hyperlink>
            <w:r w:rsidR="00734179" w:rsidRPr="00734179">
              <w:rPr>
                <w:rFonts w:ascii="Arial" w:hAnsi="Arial" w:cs="Arial"/>
              </w:rPr>
              <w:t xml:space="preserve">. </w:t>
            </w:r>
            <w:r w:rsidR="00506756" w:rsidRPr="00734179">
              <w:rPr>
                <w:rFonts w:ascii="Arial" w:hAnsi="Arial" w:cs="Arial"/>
              </w:rPr>
              <w:t>Feedback received on the new website in the meeting was very positive</w:t>
            </w:r>
          </w:p>
          <w:p w14:paraId="51E28BDE" w14:textId="5344E682" w:rsidR="00A31DE8" w:rsidRPr="00734179" w:rsidRDefault="00633ED6" w:rsidP="00506756">
            <w:pPr>
              <w:pStyle w:val="TableBody"/>
              <w:numPr>
                <w:ilvl w:val="0"/>
                <w:numId w:val="40"/>
              </w:numPr>
              <w:spacing w:before="120"/>
              <w:ind w:left="402" w:hanging="357"/>
              <w:rPr>
                <w:rFonts w:ascii="Arial" w:hAnsi="Arial" w:cs="Arial"/>
              </w:rPr>
            </w:pPr>
            <w:r w:rsidRPr="00734179">
              <w:rPr>
                <w:rFonts w:ascii="Arial" w:hAnsi="Arial" w:cs="Arial"/>
              </w:rPr>
              <w:t>Held regular meetings with key developers/stakeholders including Stockland</w:t>
            </w:r>
          </w:p>
          <w:p w14:paraId="4D9F4899" w14:textId="72405770" w:rsidR="00490E2B" w:rsidRPr="00734179" w:rsidRDefault="00490E2B" w:rsidP="00490E2B">
            <w:pPr>
              <w:pStyle w:val="TableBody"/>
              <w:numPr>
                <w:ilvl w:val="0"/>
                <w:numId w:val="40"/>
              </w:numPr>
              <w:spacing w:before="120"/>
              <w:ind w:left="402" w:hanging="357"/>
              <w:rPr>
                <w:rFonts w:ascii="Arial" w:hAnsi="Arial" w:cs="Arial"/>
              </w:rPr>
            </w:pPr>
            <w:r w:rsidRPr="00734179">
              <w:rPr>
                <w:rFonts w:ascii="Arial" w:hAnsi="Arial" w:cs="Arial"/>
              </w:rPr>
              <w:t>Drafted charter for CWCC and sought industry feedback</w:t>
            </w:r>
          </w:p>
          <w:p w14:paraId="574B9F84" w14:textId="77777777" w:rsidR="00734179" w:rsidRDefault="00734179" w:rsidP="00734179">
            <w:pPr>
              <w:pStyle w:val="TableBody"/>
              <w:numPr>
                <w:ilvl w:val="0"/>
                <w:numId w:val="40"/>
              </w:numPr>
              <w:spacing w:before="120"/>
              <w:ind w:left="402" w:hanging="357"/>
              <w:rPr>
                <w:rFonts w:ascii="Arial" w:hAnsi="Arial" w:cs="Arial"/>
              </w:rPr>
            </w:pPr>
            <w:r w:rsidRPr="00734179">
              <w:rPr>
                <w:rFonts w:ascii="Arial" w:hAnsi="Arial" w:cs="Arial"/>
              </w:rPr>
              <w:t>Feedback was captured at the quarterly CWCC</w:t>
            </w:r>
            <w:r>
              <w:rPr>
                <w:rFonts w:ascii="Arial" w:hAnsi="Arial" w:cs="Arial"/>
              </w:rPr>
              <w:t xml:space="preserve"> </w:t>
            </w:r>
            <w:r w:rsidRPr="00734179">
              <w:rPr>
                <w:rFonts w:ascii="Arial" w:hAnsi="Arial" w:cs="Arial"/>
              </w:rPr>
              <w:t>industry forum on 5</w:t>
            </w:r>
            <w:proofErr w:type="spellStart"/>
            <w:r w:rsidRPr="00734179">
              <w:rPr>
                <w:rFonts w:ascii="Arial" w:hAnsi="Arial" w:cs="Arial"/>
                <w:position w:val="8"/>
              </w:rPr>
              <w:t>th</w:t>
            </w:r>
            <w:proofErr w:type="spellEnd"/>
            <w:r w:rsidRPr="00734179">
              <w:rPr>
                <w:rFonts w:ascii="Arial" w:hAnsi="Arial" w:cs="Arial"/>
                <w:position w:val="8"/>
              </w:rPr>
              <w:t xml:space="preserve"> </w:t>
            </w:r>
            <w:r w:rsidRPr="00734179">
              <w:rPr>
                <w:rFonts w:ascii="Arial" w:hAnsi="Arial" w:cs="Arial"/>
              </w:rPr>
              <w:t>September on the role/authority of the PM2. Powercor will use this to inform the rewriting of the CWA. Minutes of this meeting can be found on</w:t>
            </w:r>
            <w:r w:rsidRPr="00734179">
              <w:rPr>
                <w:rFonts w:ascii="Arial" w:hAnsi="Arial" w:cs="Arial"/>
                <w:spacing w:val="-13"/>
              </w:rPr>
              <w:t xml:space="preserve"> </w:t>
            </w:r>
            <w:r w:rsidRPr="00734179">
              <w:rPr>
                <w:rFonts w:ascii="Arial" w:hAnsi="Arial" w:cs="Arial"/>
              </w:rPr>
              <w:t xml:space="preserve">our ‘what’s new’ page of our </w:t>
            </w:r>
            <w:hyperlink r:id="rId21" w:history="1">
              <w:r w:rsidRPr="00734179">
                <w:rPr>
                  <w:rStyle w:val="Hyperlink"/>
                  <w:rFonts w:ascii="Arial" w:hAnsi="Arial" w:cs="Arial"/>
                  <w:color w:val="auto"/>
                </w:rPr>
                <w:t>website</w:t>
              </w:r>
            </w:hyperlink>
            <w:r w:rsidRPr="00734179">
              <w:rPr>
                <w:rFonts w:ascii="Arial" w:hAnsi="Arial" w:cs="Arial"/>
              </w:rPr>
              <w:t>.</w:t>
            </w:r>
          </w:p>
          <w:p w14:paraId="6BEC34B0" w14:textId="55C5F632" w:rsidR="00833043" w:rsidRPr="00395400" w:rsidRDefault="00734179" w:rsidP="00CD6588">
            <w:pPr>
              <w:pStyle w:val="TableBody"/>
              <w:numPr>
                <w:ilvl w:val="0"/>
                <w:numId w:val="40"/>
              </w:numPr>
              <w:spacing w:before="120"/>
              <w:ind w:left="402" w:hanging="357"/>
              <w:rPr>
                <w:rFonts w:ascii="Arial" w:hAnsi="Arial" w:cs="Arial"/>
              </w:rPr>
            </w:pPr>
            <w:r w:rsidRPr="00395400">
              <w:rPr>
                <w:rFonts w:ascii="Arial" w:hAnsi="Arial" w:cs="Arial"/>
              </w:rPr>
              <w:t xml:space="preserve">We’ve </w:t>
            </w:r>
            <w:r w:rsidR="00CD6588" w:rsidRPr="00395400">
              <w:rPr>
                <w:rFonts w:ascii="Arial" w:hAnsi="Arial" w:cs="Arial"/>
              </w:rPr>
              <w:t>implemented</w:t>
            </w:r>
            <w:r w:rsidRPr="00395400">
              <w:rPr>
                <w:rFonts w:ascii="Arial" w:hAnsi="Arial" w:cs="Arial"/>
              </w:rPr>
              <w:t xml:space="preserve"> the online portal.</w:t>
            </w:r>
            <w:r w:rsidR="00CD6588" w:rsidRPr="00395400">
              <w:rPr>
                <w:rFonts w:ascii="Arial" w:hAnsi="Arial" w:cs="Arial"/>
              </w:rPr>
              <w:t xml:space="preserve"> We have received positive feedback on its operation</w:t>
            </w:r>
          </w:p>
          <w:p w14:paraId="45FB0818" w14:textId="7151D884" w:rsidR="00CD6588" w:rsidRPr="00734179" w:rsidRDefault="00CD6588" w:rsidP="00CD6588">
            <w:pPr>
              <w:pStyle w:val="TableBody"/>
              <w:spacing w:before="120"/>
              <w:ind w:left="402"/>
              <w:rPr>
                <w:rFonts w:ascii="Arial" w:hAnsi="Arial" w:cs="Arial"/>
                <w:b/>
              </w:rPr>
            </w:pPr>
          </w:p>
        </w:tc>
        <w:tc>
          <w:tcPr>
            <w:tcW w:w="3443" w:type="dxa"/>
            <w:tcBorders>
              <w:top w:val="single" w:sz="8" w:space="0" w:color="FFFFFF" w:themeColor="background1"/>
              <w:bottom w:val="single" w:sz="8" w:space="0" w:color="FFFFFF" w:themeColor="background1"/>
              <w:right w:val="single" w:sz="4" w:space="0" w:color="FFFFFF" w:themeColor="background1"/>
            </w:tcBorders>
            <w:shd w:val="clear" w:color="auto" w:fill="FFFFFF" w:themeFill="background1"/>
          </w:tcPr>
          <w:p w14:paraId="1682AA7B" w14:textId="77777777" w:rsidR="009F1F66" w:rsidRPr="00430D8E" w:rsidRDefault="009F1F66" w:rsidP="009F1F66">
            <w:pPr>
              <w:pStyle w:val="TableBody"/>
              <w:spacing w:before="120"/>
              <w:ind w:left="402"/>
            </w:pPr>
          </w:p>
          <w:p w14:paraId="049F31CB" w14:textId="77777777" w:rsidR="008703F2" w:rsidRPr="009F1D9C" w:rsidRDefault="008703F2" w:rsidP="00633ED6">
            <w:pPr>
              <w:pStyle w:val="TableBody"/>
              <w:spacing w:before="120"/>
              <w:ind w:left="402"/>
            </w:pPr>
          </w:p>
          <w:p w14:paraId="53128261" w14:textId="77777777" w:rsidR="00833043" w:rsidRPr="009F1D9C" w:rsidRDefault="00833043" w:rsidP="00A31DE8">
            <w:pPr>
              <w:pStyle w:val="TableBody"/>
              <w:ind w:left="407"/>
              <w:rPr>
                <w:color w:val="000000" w:themeColor="text1"/>
              </w:rPr>
            </w:pPr>
          </w:p>
        </w:tc>
        <w:tc>
          <w:tcPr>
            <w:tcW w:w="1413" w:type="dxa"/>
            <w:tcBorders>
              <w:left w:val="single" w:sz="4" w:space="0" w:color="FFFFFF" w:themeColor="background1"/>
            </w:tcBorders>
            <w:shd w:val="clear" w:color="auto" w:fill="92D050"/>
          </w:tcPr>
          <w:p w14:paraId="576E7ACC" w14:textId="77777777" w:rsidR="00833043" w:rsidRPr="00EE2A54" w:rsidRDefault="00F1244D" w:rsidP="00FD5C38">
            <w:pPr>
              <w:pStyle w:val="TableBody"/>
              <w:rPr>
                <w:color w:val="000000" w:themeColor="text1"/>
              </w:rPr>
            </w:pPr>
            <w:r>
              <w:rPr>
                <w:color w:val="000000" w:themeColor="text1"/>
              </w:rPr>
              <w:t>Ongoing</w:t>
            </w:r>
          </w:p>
        </w:tc>
      </w:tr>
      <w:tr w:rsidR="00166892" w14:paraId="70AEC2BC" w14:textId="77777777" w:rsidTr="2FD73228">
        <w:trPr>
          <w:cnfStyle w:val="000000010000" w:firstRow="0" w:lastRow="0" w:firstColumn="0" w:lastColumn="0" w:oddVBand="0" w:evenVBand="0" w:oddHBand="0" w:evenHBand="1" w:firstRowFirstColumn="0" w:firstRowLastColumn="0" w:lastRowFirstColumn="0" w:lastRowLastColumn="0"/>
        </w:trPr>
        <w:tc>
          <w:tcPr>
            <w:tcW w:w="2001" w:type="dxa"/>
            <w:vMerge w:val="restart"/>
          </w:tcPr>
          <w:p w14:paraId="56707424" w14:textId="77777777" w:rsidR="00EE2A54" w:rsidRPr="0059727F" w:rsidRDefault="00EE2A54" w:rsidP="006F3654">
            <w:pPr>
              <w:pStyle w:val="TableBody"/>
              <w:rPr>
                <w:color w:val="000000" w:themeColor="text1"/>
              </w:rPr>
            </w:pPr>
            <w:r w:rsidRPr="0059727F">
              <w:rPr>
                <w:color w:val="000000" w:themeColor="text1"/>
              </w:rPr>
              <w:t xml:space="preserve">2. </w:t>
            </w:r>
            <w:proofErr w:type="spellStart"/>
            <w:r w:rsidRPr="0059727F">
              <w:rPr>
                <w:color w:val="000000" w:themeColor="text1"/>
              </w:rPr>
              <w:t>Minimising</w:t>
            </w:r>
            <w:proofErr w:type="spellEnd"/>
            <w:r w:rsidRPr="0059727F">
              <w:rPr>
                <w:color w:val="000000" w:themeColor="text1"/>
              </w:rPr>
              <w:t xml:space="preserve"> avoidable delays in connecting greenfield developments to </w:t>
            </w:r>
            <w:r w:rsidRPr="0059727F">
              <w:rPr>
                <w:color w:val="000000" w:themeColor="text1"/>
              </w:rPr>
              <w:lastRenderedPageBreak/>
              <w:t>existing distribution networks.</w:t>
            </w:r>
          </w:p>
        </w:tc>
        <w:tc>
          <w:tcPr>
            <w:tcW w:w="2338" w:type="dxa"/>
          </w:tcPr>
          <w:p w14:paraId="75E893B8" w14:textId="77777777" w:rsidR="00EE2A54" w:rsidRPr="0059727F" w:rsidRDefault="00EE2A54" w:rsidP="006F3654">
            <w:pPr>
              <w:pStyle w:val="TableBody"/>
              <w:rPr>
                <w:color w:val="000000" w:themeColor="text1"/>
              </w:rPr>
            </w:pPr>
            <w:r w:rsidRPr="0059727F">
              <w:rPr>
                <w:color w:val="000000" w:themeColor="text1"/>
              </w:rPr>
              <w:lastRenderedPageBreak/>
              <w:t xml:space="preserve">Setting target timeframes </w:t>
            </w:r>
            <w:r w:rsidR="00375975" w:rsidRPr="0059727F">
              <w:rPr>
                <w:color w:val="000000" w:themeColor="text1"/>
              </w:rPr>
              <w:t xml:space="preserve">for specific stages during the negotiated connection process </w:t>
            </w:r>
            <w:r w:rsidR="00375975" w:rsidRPr="0059727F">
              <w:rPr>
                <w:color w:val="000000" w:themeColor="text1"/>
              </w:rPr>
              <w:lastRenderedPageBreak/>
              <w:t>and developing meaningful KPIs</w:t>
            </w:r>
          </w:p>
        </w:tc>
        <w:tc>
          <w:tcPr>
            <w:tcW w:w="5406" w:type="dxa"/>
          </w:tcPr>
          <w:p w14:paraId="7E08F53D" w14:textId="77777777" w:rsidR="00EE2A54" w:rsidRDefault="00375975" w:rsidP="00EE2A54">
            <w:pPr>
              <w:pStyle w:val="TableBody"/>
              <w:numPr>
                <w:ilvl w:val="0"/>
                <w:numId w:val="40"/>
              </w:numPr>
              <w:ind w:left="407"/>
              <w:rPr>
                <w:color w:val="000000" w:themeColor="text1"/>
              </w:rPr>
            </w:pPr>
            <w:r w:rsidRPr="0059727F">
              <w:rPr>
                <w:color w:val="000000" w:themeColor="text1"/>
              </w:rPr>
              <w:lastRenderedPageBreak/>
              <w:t>Target time frames and KPIs have been set – refer to Table 2 at the back of this report</w:t>
            </w:r>
          </w:p>
          <w:p w14:paraId="7CDF4BDF" w14:textId="269DFD8B" w:rsidR="00CD6588" w:rsidRPr="0059727F" w:rsidRDefault="00CD6588" w:rsidP="00CD6588">
            <w:pPr>
              <w:pStyle w:val="TableBody"/>
              <w:numPr>
                <w:ilvl w:val="0"/>
                <w:numId w:val="40"/>
              </w:numPr>
              <w:ind w:left="407"/>
              <w:rPr>
                <w:color w:val="000000" w:themeColor="text1"/>
              </w:rPr>
            </w:pPr>
            <w:r>
              <w:rPr>
                <w:color w:val="000000" w:themeColor="text1"/>
              </w:rPr>
              <w:t>The Master Plan Review and 20 day tie-in processes have been implemented</w:t>
            </w:r>
          </w:p>
        </w:tc>
        <w:tc>
          <w:tcPr>
            <w:tcW w:w="3443" w:type="dxa"/>
          </w:tcPr>
          <w:p w14:paraId="2A30165A" w14:textId="161484AE" w:rsidR="00EE2A54" w:rsidRPr="0059727F" w:rsidRDefault="00EE2A54" w:rsidP="00CD6588">
            <w:pPr>
              <w:pStyle w:val="TableBody"/>
              <w:ind w:left="407"/>
              <w:rPr>
                <w:color w:val="000000" w:themeColor="text1"/>
              </w:rPr>
            </w:pPr>
          </w:p>
        </w:tc>
        <w:tc>
          <w:tcPr>
            <w:tcW w:w="1413" w:type="dxa"/>
            <w:shd w:val="clear" w:color="auto" w:fill="92D050"/>
          </w:tcPr>
          <w:p w14:paraId="63552CB4" w14:textId="77777777" w:rsidR="00EE2A54" w:rsidRPr="00EE2A54" w:rsidRDefault="00F1244D" w:rsidP="006F3654">
            <w:pPr>
              <w:pStyle w:val="TableBody"/>
              <w:rPr>
                <w:color w:val="000000" w:themeColor="text1"/>
              </w:rPr>
            </w:pPr>
            <w:r>
              <w:rPr>
                <w:color w:val="000000" w:themeColor="text1"/>
              </w:rPr>
              <w:t>Ongoing</w:t>
            </w:r>
          </w:p>
        </w:tc>
      </w:tr>
      <w:tr w:rsidR="00166892" w14:paraId="6165A386" w14:textId="77777777" w:rsidTr="00440B4A">
        <w:trPr>
          <w:cnfStyle w:val="000000100000" w:firstRow="0" w:lastRow="0" w:firstColumn="0" w:lastColumn="0" w:oddVBand="0" w:evenVBand="0" w:oddHBand="1" w:evenHBand="0" w:firstRowFirstColumn="0" w:firstRowLastColumn="0" w:lastRowFirstColumn="0" w:lastRowLastColumn="0"/>
        </w:trPr>
        <w:tc>
          <w:tcPr>
            <w:tcW w:w="2001" w:type="dxa"/>
            <w:vMerge/>
          </w:tcPr>
          <w:p w14:paraId="62486C05" w14:textId="77777777" w:rsidR="00375975" w:rsidRPr="0059727F" w:rsidRDefault="00375975" w:rsidP="006F3654">
            <w:pPr>
              <w:pStyle w:val="TableBody"/>
              <w:rPr>
                <w:color w:val="000000" w:themeColor="text1"/>
              </w:rPr>
            </w:pPr>
          </w:p>
        </w:tc>
        <w:tc>
          <w:tcPr>
            <w:tcW w:w="2338" w:type="dxa"/>
          </w:tcPr>
          <w:p w14:paraId="656973B4" w14:textId="77777777" w:rsidR="00375975" w:rsidRPr="0059727F" w:rsidRDefault="00375975" w:rsidP="006F3654">
            <w:pPr>
              <w:pStyle w:val="TableBody"/>
              <w:rPr>
                <w:color w:val="000000" w:themeColor="text1"/>
              </w:rPr>
            </w:pPr>
            <w:r w:rsidRPr="0059727F">
              <w:rPr>
                <w:color w:val="000000" w:themeColor="text1"/>
              </w:rPr>
              <w:t xml:space="preserve">Publish regular performance reports against KPI’s. </w:t>
            </w:r>
          </w:p>
        </w:tc>
        <w:tc>
          <w:tcPr>
            <w:tcW w:w="5406" w:type="dxa"/>
          </w:tcPr>
          <w:p w14:paraId="29EC521E" w14:textId="735EA203" w:rsidR="0032755F" w:rsidRPr="00734179" w:rsidRDefault="00375975" w:rsidP="00734179">
            <w:pPr>
              <w:pStyle w:val="TableBody"/>
              <w:numPr>
                <w:ilvl w:val="0"/>
                <w:numId w:val="40"/>
              </w:numPr>
              <w:ind w:left="407"/>
              <w:rPr>
                <w:color w:val="000000" w:themeColor="text1"/>
              </w:rPr>
            </w:pPr>
            <w:r w:rsidRPr="0059727F">
              <w:rPr>
                <w:color w:val="000000" w:themeColor="text1"/>
              </w:rPr>
              <w:t xml:space="preserve">Developed </w:t>
            </w:r>
            <w:r w:rsidR="00734179">
              <w:rPr>
                <w:color w:val="000000" w:themeColor="text1"/>
              </w:rPr>
              <w:t xml:space="preserve">and published </w:t>
            </w:r>
            <w:r w:rsidRPr="0059727F">
              <w:rPr>
                <w:color w:val="000000" w:themeColor="text1"/>
              </w:rPr>
              <w:t>half yearly performance report</w:t>
            </w:r>
            <w:r w:rsidR="0032755F" w:rsidRPr="0059727F">
              <w:rPr>
                <w:color w:val="000000" w:themeColor="text1"/>
              </w:rPr>
              <w:t xml:space="preserve"> and </w:t>
            </w:r>
            <w:r w:rsidR="0032755F" w:rsidRPr="00734179">
              <w:rPr>
                <w:color w:val="000000" w:themeColor="text1"/>
              </w:rPr>
              <w:t xml:space="preserve">quarterly construction auditing report on audit results and trends </w:t>
            </w:r>
            <w:r w:rsidR="00734179">
              <w:rPr>
                <w:color w:val="000000" w:themeColor="text1"/>
              </w:rPr>
              <w:t xml:space="preserve">on our </w:t>
            </w:r>
            <w:hyperlink r:id="rId22" w:history="1">
              <w:r w:rsidR="00734179" w:rsidRPr="00734179">
                <w:rPr>
                  <w:rStyle w:val="Hyperlink"/>
                </w:rPr>
                <w:t>website</w:t>
              </w:r>
            </w:hyperlink>
            <w:r w:rsidR="00734179">
              <w:rPr>
                <w:color w:val="000000" w:themeColor="text1"/>
              </w:rPr>
              <w:t xml:space="preserve"> </w:t>
            </w:r>
          </w:p>
        </w:tc>
        <w:tc>
          <w:tcPr>
            <w:tcW w:w="3443" w:type="dxa"/>
          </w:tcPr>
          <w:p w14:paraId="25B55937" w14:textId="77777777" w:rsidR="00375975" w:rsidRPr="0059727F" w:rsidRDefault="00375975" w:rsidP="00EE2A54">
            <w:pPr>
              <w:pStyle w:val="TableBody"/>
              <w:numPr>
                <w:ilvl w:val="0"/>
                <w:numId w:val="40"/>
              </w:numPr>
              <w:ind w:left="407"/>
              <w:rPr>
                <w:color w:val="000000" w:themeColor="text1"/>
              </w:rPr>
            </w:pPr>
            <w:r w:rsidRPr="0059727F">
              <w:rPr>
                <w:color w:val="000000" w:themeColor="text1"/>
              </w:rPr>
              <w:t>Capture and monitor performance data for regular reporting</w:t>
            </w:r>
          </w:p>
        </w:tc>
        <w:tc>
          <w:tcPr>
            <w:tcW w:w="1413" w:type="dxa"/>
            <w:tcBorders>
              <w:bottom w:val="single" w:sz="8" w:space="0" w:color="FFFFFF" w:themeColor="background1"/>
            </w:tcBorders>
            <w:shd w:val="clear" w:color="auto" w:fill="92D050"/>
          </w:tcPr>
          <w:p w14:paraId="233340DF" w14:textId="77777777" w:rsidR="00375975" w:rsidRDefault="00375975" w:rsidP="006F3654">
            <w:pPr>
              <w:pStyle w:val="TableBody"/>
              <w:rPr>
                <w:color w:val="000000" w:themeColor="text1"/>
              </w:rPr>
            </w:pPr>
            <w:r>
              <w:rPr>
                <w:color w:val="000000" w:themeColor="text1"/>
              </w:rPr>
              <w:t>On</w:t>
            </w:r>
            <w:r w:rsidRPr="00EE2A54">
              <w:rPr>
                <w:color w:val="000000" w:themeColor="text1"/>
              </w:rPr>
              <w:t>going</w:t>
            </w:r>
          </w:p>
        </w:tc>
      </w:tr>
      <w:tr w:rsidR="00166892" w14:paraId="60222961" w14:textId="77777777" w:rsidTr="00440B4A">
        <w:trPr>
          <w:cnfStyle w:val="000000010000" w:firstRow="0" w:lastRow="0" w:firstColumn="0" w:lastColumn="0" w:oddVBand="0" w:evenVBand="0" w:oddHBand="0" w:evenHBand="1" w:firstRowFirstColumn="0" w:firstRowLastColumn="0" w:lastRowFirstColumn="0" w:lastRowLastColumn="0"/>
        </w:trPr>
        <w:tc>
          <w:tcPr>
            <w:tcW w:w="2001" w:type="dxa"/>
            <w:vMerge/>
          </w:tcPr>
          <w:p w14:paraId="4101652C" w14:textId="77777777" w:rsidR="00375975" w:rsidRPr="0059727F" w:rsidRDefault="00375975" w:rsidP="00EE2A54">
            <w:pPr>
              <w:pStyle w:val="TableBody"/>
              <w:rPr>
                <w:color w:val="FF0000"/>
              </w:rPr>
            </w:pPr>
          </w:p>
        </w:tc>
        <w:tc>
          <w:tcPr>
            <w:tcW w:w="2338" w:type="dxa"/>
          </w:tcPr>
          <w:p w14:paraId="2EBB1F16" w14:textId="77777777" w:rsidR="009F1D9C" w:rsidRPr="0059727F" w:rsidRDefault="00375975" w:rsidP="009B3DEB">
            <w:pPr>
              <w:pStyle w:val="TableBody"/>
              <w:rPr>
                <w:color w:val="000000" w:themeColor="text1"/>
              </w:rPr>
            </w:pPr>
            <w:r w:rsidRPr="0059727F">
              <w:rPr>
                <w:color w:val="000000" w:themeColor="text1"/>
              </w:rPr>
              <w:t>Explore development of a service level agreement (SLA)</w:t>
            </w:r>
          </w:p>
        </w:tc>
        <w:tc>
          <w:tcPr>
            <w:tcW w:w="5406" w:type="dxa"/>
          </w:tcPr>
          <w:p w14:paraId="731B933B" w14:textId="77777777" w:rsidR="009F1D9C" w:rsidRDefault="00375975" w:rsidP="00E52833">
            <w:pPr>
              <w:pStyle w:val="TableBody"/>
              <w:numPr>
                <w:ilvl w:val="0"/>
                <w:numId w:val="40"/>
              </w:numPr>
              <w:ind w:left="407"/>
              <w:rPr>
                <w:color w:val="000000" w:themeColor="text1"/>
              </w:rPr>
            </w:pPr>
            <w:r w:rsidRPr="00BE7A2F">
              <w:rPr>
                <w:rFonts w:ascii="Arial" w:hAnsi="Arial" w:cs="Arial"/>
                <w:b/>
                <w:color w:val="0070C0"/>
              </w:rPr>
              <w:t xml:space="preserve"> </w:t>
            </w:r>
            <w:r w:rsidR="00E52833">
              <w:rPr>
                <w:color w:val="000000" w:themeColor="text1"/>
              </w:rPr>
              <w:t>A number of workshops held to determine needs</w:t>
            </w:r>
          </w:p>
          <w:p w14:paraId="08FFCC65" w14:textId="552B501C" w:rsidR="00E52833" w:rsidRPr="0059727F" w:rsidRDefault="00E52833" w:rsidP="00E52833">
            <w:pPr>
              <w:pStyle w:val="TableBody"/>
              <w:numPr>
                <w:ilvl w:val="0"/>
                <w:numId w:val="40"/>
              </w:numPr>
              <w:ind w:left="407"/>
              <w:rPr>
                <w:color w:val="000000" w:themeColor="text1"/>
              </w:rPr>
            </w:pPr>
            <w:r>
              <w:rPr>
                <w:color w:val="000000" w:themeColor="text1"/>
              </w:rPr>
              <w:t>Engaged with other industry participants</w:t>
            </w:r>
          </w:p>
        </w:tc>
        <w:tc>
          <w:tcPr>
            <w:tcW w:w="3443" w:type="dxa"/>
          </w:tcPr>
          <w:p w14:paraId="656FCF0B" w14:textId="7067A148" w:rsidR="00375975" w:rsidRPr="0059727F" w:rsidRDefault="00BE7A2F" w:rsidP="00395400">
            <w:pPr>
              <w:pStyle w:val="TableBody"/>
              <w:numPr>
                <w:ilvl w:val="0"/>
                <w:numId w:val="40"/>
              </w:numPr>
              <w:ind w:left="407"/>
              <w:rPr>
                <w:color w:val="000000" w:themeColor="text1"/>
              </w:rPr>
            </w:pPr>
            <w:r w:rsidRPr="009C4F0A">
              <w:rPr>
                <w:rFonts w:ascii="Arial" w:hAnsi="Arial" w:cs="Arial"/>
                <w:b/>
                <w:color w:val="0070C0"/>
              </w:rPr>
              <w:t xml:space="preserve">Complete update of our </w:t>
            </w:r>
            <w:r w:rsidR="2FD73228" w:rsidRPr="009C4F0A">
              <w:rPr>
                <w:rFonts w:ascii="Arial" w:hAnsi="Arial" w:cs="Arial"/>
                <w:b/>
                <w:color w:val="0070C0"/>
              </w:rPr>
              <w:t xml:space="preserve">Contestable Works Agreement in </w:t>
            </w:r>
            <w:r w:rsidR="00395400">
              <w:rPr>
                <w:rFonts w:ascii="Arial" w:hAnsi="Arial" w:cs="Arial"/>
                <w:b/>
                <w:color w:val="0070C0"/>
              </w:rPr>
              <w:t>1H2020</w:t>
            </w:r>
          </w:p>
        </w:tc>
        <w:tc>
          <w:tcPr>
            <w:tcW w:w="1413" w:type="dxa"/>
            <w:tcBorders>
              <w:top w:val="single" w:sz="8" w:space="0" w:color="FFFFFF" w:themeColor="background1"/>
              <w:bottom w:val="single" w:sz="8" w:space="0" w:color="FFFFFF" w:themeColor="background1"/>
            </w:tcBorders>
            <w:shd w:val="clear" w:color="auto" w:fill="FFC000"/>
          </w:tcPr>
          <w:p w14:paraId="4B9A1FAF" w14:textId="02906508" w:rsidR="00375975" w:rsidRPr="00EE2A54" w:rsidRDefault="00F63149" w:rsidP="00EE2A54">
            <w:pPr>
              <w:pStyle w:val="TableBody"/>
              <w:rPr>
                <w:color w:val="000000" w:themeColor="text1"/>
              </w:rPr>
            </w:pPr>
            <w:r>
              <w:rPr>
                <w:color w:val="000000" w:themeColor="text1"/>
              </w:rPr>
              <w:t>Behind schedule</w:t>
            </w:r>
          </w:p>
        </w:tc>
      </w:tr>
      <w:tr w:rsidR="00166892" w14:paraId="0F602ED3" w14:textId="77777777" w:rsidTr="00440B4A">
        <w:trPr>
          <w:cnfStyle w:val="000000100000" w:firstRow="0" w:lastRow="0" w:firstColumn="0" w:lastColumn="0" w:oddVBand="0" w:evenVBand="0" w:oddHBand="1" w:evenHBand="0" w:firstRowFirstColumn="0" w:firstRowLastColumn="0" w:lastRowFirstColumn="0" w:lastRowLastColumn="0"/>
        </w:trPr>
        <w:tc>
          <w:tcPr>
            <w:tcW w:w="2001" w:type="dxa"/>
            <w:vMerge/>
          </w:tcPr>
          <w:p w14:paraId="4B99056E" w14:textId="77777777" w:rsidR="00375975" w:rsidRPr="0059727F" w:rsidRDefault="00375975" w:rsidP="00EE2A54">
            <w:pPr>
              <w:pStyle w:val="TableBody"/>
              <w:rPr>
                <w:color w:val="FF0000"/>
              </w:rPr>
            </w:pPr>
          </w:p>
        </w:tc>
        <w:tc>
          <w:tcPr>
            <w:tcW w:w="2338" w:type="dxa"/>
          </w:tcPr>
          <w:p w14:paraId="11901F8B" w14:textId="77777777" w:rsidR="00375975" w:rsidRPr="0059727F" w:rsidRDefault="00375975" w:rsidP="00EE2A54">
            <w:pPr>
              <w:pStyle w:val="TableBody"/>
              <w:rPr>
                <w:color w:val="000000" w:themeColor="text1"/>
              </w:rPr>
            </w:pPr>
            <w:r w:rsidRPr="0059727F">
              <w:rPr>
                <w:color w:val="000000" w:themeColor="text1"/>
              </w:rPr>
              <w:t>Publish the steps to escalate a complaint in relation to new connections on the DB’s website</w:t>
            </w:r>
          </w:p>
        </w:tc>
        <w:tc>
          <w:tcPr>
            <w:tcW w:w="5406" w:type="dxa"/>
          </w:tcPr>
          <w:p w14:paraId="1299C43A" w14:textId="14CE4F7F" w:rsidR="00375975" w:rsidRPr="0059727F" w:rsidRDefault="00166892" w:rsidP="00734179">
            <w:pPr>
              <w:pStyle w:val="TableBody"/>
              <w:numPr>
                <w:ilvl w:val="0"/>
                <w:numId w:val="40"/>
              </w:numPr>
              <w:spacing w:before="120"/>
              <w:ind w:left="402" w:hanging="357"/>
              <w:rPr>
                <w:color w:val="000000" w:themeColor="text1"/>
              </w:rPr>
            </w:pPr>
            <w:r w:rsidRPr="009F1D9C">
              <w:t>A new email address (</w:t>
            </w:r>
            <w:hyperlink r:id="rId23" w:history="1">
              <w:r w:rsidRPr="009F1D9C">
                <w:rPr>
                  <w:rStyle w:val="Hyperlink"/>
                </w:rPr>
                <w:t>contestable@powercor.com.au</w:t>
              </w:r>
            </w:hyperlink>
            <w:r w:rsidRPr="009F1D9C">
              <w:t>) has been created and is provided for complaints and escalations on the new</w:t>
            </w:r>
            <w:r>
              <w:t xml:space="preserve"> webpage</w:t>
            </w:r>
            <w:r w:rsidRPr="00430D8E">
              <w:rPr>
                <w:color w:val="236192" w:themeColor="accent1"/>
              </w:rPr>
              <w:t xml:space="preserve">. </w:t>
            </w:r>
          </w:p>
        </w:tc>
        <w:tc>
          <w:tcPr>
            <w:tcW w:w="3443" w:type="dxa"/>
          </w:tcPr>
          <w:p w14:paraId="4DDBEF00" w14:textId="1EB56F6B" w:rsidR="00375975" w:rsidRPr="0059727F" w:rsidRDefault="00375975" w:rsidP="00391ACF">
            <w:pPr>
              <w:pStyle w:val="TableBody"/>
              <w:rPr>
                <w:color w:val="000000" w:themeColor="text1"/>
              </w:rPr>
            </w:pPr>
          </w:p>
        </w:tc>
        <w:tc>
          <w:tcPr>
            <w:tcW w:w="1413" w:type="dxa"/>
            <w:tcBorders>
              <w:top w:val="single" w:sz="8" w:space="0" w:color="FFFFFF" w:themeColor="background1"/>
            </w:tcBorders>
            <w:shd w:val="clear" w:color="auto" w:fill="00B050"/>
          </w:tcPr>
          <w:p w14:paraId="0B477452" w14:textId="455123B8" w:rsidR="00375975" w:rsidRPr="00EE2A54" w:rsidRDefault="0059727F" w:rsidP="00F1244D">
            <w:pPr>
              <w:pStyle w:val="TableBody"/>
              <w:rPr>
                <w:color w:val="000000" w:themeColor="text1"/>
              </w:rPr>
            </w:pPr>
            <w:r>
              <w:rPr>
                <w:color w:val="000000" w:themeColor="text1"/>
              </w:rPr>
              <w:t>Complete</w:t>
            </w:r>
            <w:r w:rsidR="00FD790F">
              <w:rPr>
                <w:color w:val="000000" w:themeColor="text1"/>
              </w:rPr>
              <w:t>d</w:t>
            </w:r>
          </w:p>
        </w:tc>
      </w:tr>
      <w:tr w:rsidR="00734179" w14:paraId="5B7DB4EA" w14:textId="77777777" w:rsidTr="2FD73228">
        <w:trPr>
          <w:cnfStyle w:val="000000010000" w:firstRow="0" w:lastRow="0" w:firstColumn="0" w:lastColumn="0" w:oddVBand="0" w:evenVBand="0" w:oddHBand="0" w:evenHBand="1" w:firstRowFirstColumn="0" w:firstRowLastColumn="0" w:lastRowFirstColumn="0" w:lastRowLastColumn="0"/>
        </w:trPr>
        <w:tc>
          <w:tcPr>
            <w:tcW w:w="2001" w:type="dxa"/>
          </w:tcPr>
          <w:p w14:paraId="6638456A" w14:textId="77777777" w:rsidR="00375975" w:rsidRPr="0059727F" w:rsidRDefault="009F1D9C" w:rsidP="00EE2A54">
            <w:pPr>
              <w:pStyle w:val="TableBody"/>
              <w:rPr>
                <w:color w:val="FF0000"/>
              </w:rPr>
            </w:pPr>
            <w:r w:rsidRPr="0059727F">
              <w:rPr>
                <w:color w:val="000000" w:themeColor="text1"/>
              </w:rPr>
              <w:t>3. Improving how technical standards are managed and communicated</w:t>
            </w:r>
          </w:p>
        </w:tc>
        <w:tc>
          <w:tcPr>
            <w:tcW w:w="2338" w:type="dxa"/>
            <w:tcBorders>
              <w:right w:val="single" w:sz="4" w:space="0" w:color="FFFFFF" w:themeColor="background1"/>
            </w:tcBorders>
          </w:tcPr>
          <w:p w14:paraId="00189D2F" w14:textId="77777777" w:rsidR="00375975" w:rsidRPr="0059727F" w:rsidRDefault="00375975" w:rsidP="00EE2A54">
            <w:pPr>
              <w:pStyle w:val="TableBody"/>
              <w:rPr>
                <w:color w:val="000000" w:themeColor="text1"/>
              </w:rPr>
            </w:pPr>
            <w:r w:rsidRPr="0059727F">
              <w:rPr>
                <w:color w:val="000000" w:themeColor="text1"/>
              </w:rPr>
              <w:t xml:space="preserve">Develop a technical standards committee to </w:t>
            </w:r>
            <w:proofErr w:type="spellStart"/>
            <w:r w:rsidRPr="0059727F">
              <w:rPr>
                <w:color w:val="000000" w:themeColor="text1"/>
              </w:rPr>
              <w:t>harmonise</w:t>
            </w:r>
            <w:proofErr w:type="spellEnd"/>
            <w:r w:rsidRPr="0059727F">
              <w:rPr>
                <w:color w:val="000000" w:themeColor="text1"/>
              </w:rPr>
              <w:t xml:space="preserve"> standards and provide a forum for raising issues, and issuing guidance notes on principles and practices</w:t>
            </w:r>
          </w:p>
        </w:tc>
        <w:tc>
          <w:tcPr>
            <w:tcW w:w="5406" w:type="dxa"/>
            <w:tcBorders>
              <w:top w:val="single" w:sz="8" w:space="0" w:color="FFFFFF" w:themeColor="background1"/>
              <w:left w:val="single" w:sz="4" w:space="0" w:color="FFFFFF" w:themeColor="background1"/>
              <w:bottom w:val="single" w:sz="8" w:space="0" w:color="FFFFFF" w:themeColor="background1"/>
            </w:tcBorders>
          </w:tcPr>
          <w:p w14:paraId="3C55B60F" w14:textId="77777777" w:rsidR="00375975" w:rsidRPr="0059727F" w:rsidRDefault="009F1D9C" w:rsidP="009F1D9C">
            <w:pPr>
              <w:pStyle w:val="TableBody"/>
              <w:numPr>
                <w:ilvl w:val="0"/>
                <w:numId w:val="40"/>
              </w:numPr>
              <w:ind w:left="407"/>
              <w:rPr>
                <w:color w:val="000000" w:themeColor="text1"/>
              </w:rPr>
            </w:pPr>
            <w:r w:rsidRPr="0059727F">
              <w:rPr>
                <w:color w:val="000000" w:themeColor="text1"/>
              </w:rPr>
              <w:t>Established Technical Standards Review Committee</w:t>
            </w:r>
          </w:p>
          <w:p w14:paraId="38A1335D" w14:textId="77777777" w:rsidR="009F1D9C" w:rsidRPr="0059727F" w:rsidRDefault="009F1D9C" w:rsidP="009F1D9C">
            <w:pPr>
              <w:pStyle w:val="TableBody"/>
              <w:numPr>
                <w:ilvl w:val="0"/>
                <w:numId w:val="40"/>
              </w:numPr>
              <w:ind w:left="407"/>
              <w:rPr>
                <w:color w:val="000000" w:themeColor="text1"/>
              </w:rPr>
            </w:pPr>
            <w:r w:rsidRPr="0059727F">
              <w:rPr>
                <w:color w:val="000000" w:themeColor="text1"/>
              </w:rPr>
              <w:t>Held first meeting and follow up meeting with industry representatives to refine scope of activities</w:t>
            </w:r>
          </w:p>
          <w:p w14:paraId="32B88BAE" w14:textId="77777777" w:rsidR="009F1D9C" w:rsidRPr="0059727F" w:rsidRDefault="009F1D9C" w:rsidP="009F1D9C">
            <w:pPr>
              <w:pStyle w:val="TableBody"/>
              <w:numPr>
                <w:ilvl w:val="0"/>
                <w:numId w:val="40"/>
              </w:numPr>
              <w:ind w:left="407"/>
              <w:rPr>
                <w:color w:val="000000" w:themeColor="text1"/>
              </w:rPr>
            </w:pPr>
            <w:r w:rsidRPr="0059727F">
              <w:rPr>
                <w:color w:val="000000" w:themeColor="text1"/>
              </w:rPr>
              <w:t>Identified first areas of focus (civils related technical standards)</w:t>
            </w:r>
          </w:p>
          <w:p w14:paraId="4E93DEAE" w14:textId="77777777" w:rsidR="009F1D9C" w:rsidRDefault="009F1D9C" w:rsidP="009F1D9C">
            <w:pPr>
              <w:pStyle w:val="TableBody"/>
              <w:numPr>
                <w:ilvl w:val="0"/>
                <w:numId w:val="40"/>
              </w:numPr>
              <w:ind w:left="407"/>
              <w:rPr>
                <w:color w:val="000000" w:themeColor="text1"/>
              </w:rPr>
            </w:pPr>
            <w:r w:rsidRPr="0059727F">
              <w:rPr>
                <w:color w:val="000000" w:themeColor="text1"/>
              </w:rPr>
              <w:t>Engaged consultants to scope ‘gap’ analysis of technical standards</w:t>
            </w:r>
          </w:p>
          <w:p w14:paraId="3FBF3E81" w14:textId="3A9D426F" w:rsidR="009F6CB7" w:rsidRPr="00734179" w:rsidRDefault="009F6CB7" w:rsidP="009F1D9C">
            <w:pPr>
              <w:pStyle w:val="TableBody"/>
              <w:numPr>
                <w:ilvl w:val="0"/>
                <w:numId w:val="40"/>
              </w:numPr>
              <w:ind w:left="407"/>
            </w:pPr>
            <w:r w:rsidRPr="00734179">
              <w:rPr>
                <w:lang w:val="en-AU"/>
              </w:rPr>
              <w:t>Finalised</w:t>
            </w:r>
            <w:r w:rsidRPr="00734179">
              <w:t xml:space="preserve"> Technical Standards Review Committee Terms of Reference and circulated to committee members</w:t>
            </w:r>
          </w:p>
          <w:p w14:paraId="694F7333" w14:textId="22AB2040" w:rsidR="002F0AAB" w:rsidRDefault="00734179" w:rsidP="002F0AAB">
            <w:r w:rsidRPr="00BB63EA">
              <w:lastRenderedPageBreak/>
              <w:t xml:space="preserve">Final </w:t>
            </w:r>
            <w:r w:rsidR="007B17DA" w:rsidRPr="00BB63EA">
              <w:t>gap analysis report completed</w:t>
            </w:r>
            <w:r w:rsidR="002F0AAB">
              <w:t xml:space="preserve"> </w:t>
            </w:r>
            <w:hyperlink r:id="rId24" w:history="1">
              <w:r w:rsidR="002F0AAB">
                <w:rPr>
                  <w:rStyle w:val="Hyperlink"/>
                </w:rPr>
                <w:t>http://www.vesi.com.au/index.php/vedn-civil-works</w:t>
              </w:r>
            </w:hyperlink>
          </w:p>
          <w:p w14:paraId="07B5F863" w14:textId="1A0100E8" w:rsidR="007B17DA" w:rsidRPr="00BB63EA" w:rsidRDefault="007B17DA" w:rsidP="002F0AAB">
            <w:pPr>
              <w:pStyle w:val="TableBody"/>
            </w:pPr>
          </w:p>
          <w:p w14:paraId="36DB268F" w14:textId="2112D53F" w:rsidR="00734179" w:rsidRPr="007B17DA" w:rsidRDefault="00734179" w:rsidP="009F1D9C">
            <w:pPr>
              <w:pStyle w:val="TableBody"/>
              <w:numPr>
                <w:ilvl w:val="0"/>
                <w:numId w:val="40"/>
              </w:numPr>
              <w:ind w:left="407"/>
              <w:rPr>
                <w:b/>
                <w:color w:val="000000" w:themeColor="text1"/>
              </w:rPr>
            </w:pPr>
            <w:r w:rsidRPr="00BB63EA">
              <w:t>Gap analysis finding presented to Technical Standards Steering Committee</w:t>
            </w: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09DF6AB6" w14:textId="168D6F67" w:rsidR="00E52833" w:rsidRDefault="00E52833" w:rsidP="00BE7A2F">
            <w:pPr>
              <w:pStyle w:val="TableBody"/>
              <w:numPr>
                <w:ilvl w:val="0"/>
                <w:numId w:val="40"/>
              </w:numPr>
              <w:ind w:left="407"/>
              <w:rPr>
                <w:b/>
                <w:color w:val="236192" w:themeColor="accent1"/>
              </w:rPr>
            </w:pPr>
            <w:r>
              <w:rPr>
                <w:b/>
                <w:color w:val="236192" w:themeColor="accent1"/>
              </w:rPr>
              <w:lastRenderedPageBreak/>
              <w:t>Draft document circulated for comment in March</w:t>
            </w:r>
          </w:p>
          <w:p w14:paraId="41946406" w14:textId="77777777" w:rsidR="00D01394" w:rsidRDefault="00E52833" w:rsidP="00BE7A2F">
            <w:pPr>
              <w:pStyle w:val="TableBody"/>
              <w:numPr>
                <w:ilvl w:val="0"/>
                <w:numId w:val="40"/>
              </w:numPr>
              <w:ind w:left="407"/>
              <w:rPr>
                <w:b/>
                <w:color w:val="236192" w:themeColor="accent1"/>
              </w:rPr>
            </w:pPr>
            <w:r>
              <w:rPr>
                <w:b/>
                <w:color w:val="236192" w:themeColor="accent1"/>
              </w:rPr>
              <w:t xml:space="preserve">Responses due 29 May. </w:t>
            </w:r>
          </w:p>
          <w:p w14:paraId="016F9213" w14:textId="063AF70D" w:rsidR="009C4F0A" w:rsidRPr="009C4F0A" w:rsidRDefault="00D01394" w:rsidP="00BE7A2F">
            <w:pPr>
              <w:pStyle w:val="TableBody"/>
              <w:numPr>
                <w:ilvl w:val="0"/>
                <w:numId w:val="40"/>
              </w:numPr>
              <w:ind w:left="407"/>
              <w:rPr>
                <w:b/>
                <w:color w:val="236192" w:themeColor="accent1"/>
              </w:rPr>
            </w:pPr>
            <w:r>
              <w:rPr>
                <w:b/>
                <w:color w:val="236192" w:themeColor="accent1"/>
              </w:rPr>
              <w:t xml:space="preserve">Responses to be collated and further workshop held in </w:t>
            </w:r>
            <w:r w:rsidR="00181778">
              <w:rPr>
                <w:b/>
                <w:color w:val="236192" w:themeColor="accent1"/>
              </w:rPr>
              <w:t>June</w:t>
            </w:r>
            <w:bookmarkStart w:id="1" w:name="_GoBack"/>
            <w:bookmarkEnd w:id="1"/>
            <w:r>
              <w:rPr>
                <w:b/>
                <w:color w:val="236192" w:themeColor="accent1"/>
              </w:rPr>
              <w:t>.</w:t>
            </w:r>
            <w:r w:rsidR="00E52833">
              <w:rPr>
                <w:b/>
                <w:color w:val="236192" w:themeColor="accent1"/>
              </w:rPr>
              <w:t xml:space="preserve"> </w:t>
            </w:r>
          </w:p>
          <w:p w14:paraId="4B4ED622" w14:textId="3DF205EA" w:rsidR="009C4F0A" w:rsidRPr="00734179" w:rsidRDefault="009C4F0A" w:rsidP="009C4F0A">
            <w:pPr>
              <w:pStyle w:val="TableBody"/>
              <w:rPr>
                <w:color w:val="FF0000"/>
                <w:lang w:val="en-AU"/>
              </w:rPr>
            </w:pPr>
          </w:p>
        </w:tc>
        <w:tc>
          <w:tcPr>
            <w:tcW w:w="1413" w:type="dxa"/>
            <w:tcBorders>
              <w:left w:val="single" w:sz="4" w:space="0" w:color="FFFFFF" w:themeColor="background1"/>
            </w:tcBorders>
            <w:shd w:val="clear" w:color="auto" w:fill="92D050"/>
          </w:tcPr>
          <w:p w14:paraId="009771C9" w14:textId="77777777" w:rsidR="00375975" w:rsidRPr="00EE2A54" w:rsidRDefault="00375975" w:rsidP="00F1244D">
            <w:pPr>
              <w:pStyle w:val="TableBody"/>
              <w:rPr>
                <w:color w:val="000000" w:themeColor="text1"/>
              </w:rPr>
            </w:pPr>
            <w:r>
              <w:rPr>
                <w:color w:val="000000" w:themeColor="text1"/>
              </w:rPr>
              <w:t>Ongoing</w:t>
            </w:r>
          </w:p>
        </w:tc>
      </w:tr>
      <w:tr w:rsidR="00734179" w14:paraId="031DAFBB" w14:textId="77777777" w:rsidTr="00FD790F">
        <w:trPr>
          <w:cnfStyle w:val="000000100000" w:firstRow="0" w:lastRow="0" w:firstColumn="0" w:lastColumn="0" w:oddVBand="0" w:evenVBand="0" w:oddHBand="1" w:evenHBand="0" w:firstRowFirstColumn="0" w:firstRowLastColumn="0" w:lastRowFirstColumn="0" w:lastRowLastColumn="0"/>
          <w:cantSplit/>
        </w:trPr>
        <w:tc>
          <w:tcPr>
            <w:tcW w:w="2001" w:type="dxa"/>
          </w:tcPr>
          <w:p w14:paraId="56B62402" w14:textId="77777777" w:rsidR="00375975" w:rsidRPr="00EE2A54" w:rsidRDefault="009F1D9C" w:rsidP="00655D9D">
            <w:pPr>
              <w:pStyle w:val="TableBody"/>
              <w:rPr>
                <w:color w:val="000000" w:themeColor="text1"/>
              </w:rPr>
            </w:pPr>
            <w:r w:rsidRPr="00EE2A54">
              <w:rPr>
                <w:color w:val="000000" w:themeColor="text1"/>
              </w:rPr>
              <w:lastRenderedPageBreak/>
              <w:t>4. Review and improve audit processes and practices</w:t>
            </w:r>
          </w:p>
        </w:tc>
        <w:tc>
          <w:tcPr>
            <w:tcW w:w="2338" w:type="dxa"/>
            <w:tcBorders>
              <w:right w:val="single" w:sz="4" w:space="0" w:color="FFFFFF" w:themeColor="background1"/>
            </w:tcBorders>
          </w:tcPr>
          <w:p w14:paraId="34B5A79D" w14:textId="77777777" w:rsidR="00375975" w:rsidRPr="00EE2A54" w:rsidRDefault="00375975" w:rsidP="00BC6230">
            <w:pPr>
              <w:pStyle w:val="TableBody"/>
              <w:rPr>
                <w:color w:val="000000" w:themeColor="text1"/>
              </w:rPr>
            </w:pPr>
            <w:r w:rsidRPr="00EE2A54">
              <w:rPr>
                <w:color w:val="000000" w:themeColor="text1"/>
              </w:rPr>
              <w:t xml:space="preserve">Develop a program to improve the </w:t>
            </w:r>
            <w:r>
              <w:rPr>
                <w:color w:val="000000" w:themeColor="text1"/>
              </w:rPr>
              <w:t xml:space="preserve">audit </w:t>
            </w:r>
            <w:r w:rsidRPr="00EE2A54">
              <w:rPr>
                <w:color w:val="000000" w:themeColor="text1"/>
              </w:rPr>
              <w:t>process e.g. through real time remediation of defects, developing SLAs for audit and re-audit delivery, increasing the number of auditors</w:t>
            </w:r>
          </w:p>
          <w:p w14:paraId="3461D779" w14:textId="77777777" w:rsidR="00375975" w:rsidRPr="00EE2A54" w:rsidRDefault="00375975" w:rsidP="00BC6230">
            <w:pPr>
              <w:pStyle w:val="TableBody"/>
              <w:rPr>
                <w:color w:val="000000" w:themeColor="text1"/>
              </w:rPr>
            </w:pPr>
          </w:p>
        </w:tc>
        <w:tc>
          <w:tcPr>
            <w:tcW w:w="5406" w:type="dxa"/>
            <w:tcBorders>
              <w:top w:val="single" w:sz="8" w:space="0" w:color="FFFFFF" w:themeColor="background1"/>
              <w:left w:val="single" w:sz="4" w:space="0" w:color="FFFFFF" w:themeColor="background1"/>
              <w:bottom w:val="single" w:sz="8" w:space="0" w:color="FFFFFF" w:themeColor="background1"/>
            </w:tcBorders>
          </w:tcPr>
          <w:p w14:paraId="3B5767AE" w14:textId="77777777" w:rsidR="00734179" w:rsidRDefault="00734179" w:rsidP="00734179">
            <w:pPr>
              <w:pStyle w:val="TableParagraph"/>
              <w:spacing w:before="86"/>
              <w:ind w:left="79"/>
            </w:pPr>
            <w:r>
              <w:t>Improved audit processes:</w:t>
            </w:r>
          </w:p>
          <w:p w14:paraId="233143AC" w14:textId="77777777" w:rsidR="00734179" w:rsidRDefault="00734179" w:rsidP="00734179">
            <w:pPr>
              <w:pStyle w:val="TableParagraph"/>
              <w:numPr>
                <w:ilvl w:val="0"/>
                <w:numId w:val="48"/>
              </w:numPr>
              <w:tabs>
                <w:tab w:val="left" w:pos="487"/>
                <w:tab w:val="left" w:pos="488"/>
              </w:tabs>
              <w:spacing w:line="269" w:lineRule="exact"/>
              <w:ind w:hanging="432"/>
            </w:pPr>
            <w:r>
              <w:t>Stopped ‘walk-away’</w:t>
            </w:r>
            <w:r>
              <w:rPr>
                <w:spacing w:val="-8"/>
              </w:rPr>
              <w:t xml:space="preserve"> </w:t>
            </w:r>
            <w:r>
              <w:t>policy</w:t>
            </w:r>
          </w:p>
          <w:p w14:paraId="33FDDF92" w14:textId="77777777" w:rsidR="00734179" w:rsidRDefault="00734179" w:rsidP="00734179">
            <w:pPr>
              <w:pStyle w:val="TableParagraph"/>
              <w:numPr>
                <w:ilvl w:val="0"/>
                <w:numId w:val="48"/>
              </w:numPr>
              <w:tabs>
                <w:tab w:val="left" w:pos="487"/>
                <w:tab w:val="left" w:pos="488"/>
              </w:tabs>
              <w:spacing w:before="18" w:line="252" w:lineRule="exact"/>
              <w:ind w:right="395" w:hanging="432"/>
            </w:pPr>
            <w:r>
              <w:t>Complete all above ground audit items on first audit</w:t>
            </w:r>
          </w:p>
          <w:p w14:paraId="2D76C5D2" w14:textId="77777777" w:rsidR="00734179" w:rsidRDefault="00734179" w:rsidP="00734179">
            <w:pPr>
              <w:pStyle w:val="TableParagraph"/>
              <w:numPr>
                <w:ilvl w:val="0"/>
                <w:numId w:val="48"/>
              </w:numPr>
              <w:tabs>
                <w:tab w:val="left" w:pos="488"/>
              </w:tabs>
              <w:spacing w:before="16" w:line="252" w:lineRule="exact"/>
              <w:ind w:right="139" w:hanging="432"/>
              <w:jc w:val="both"/>
            </w:pPr>
            <w:r>
              <w:t>Allow for real-time non-conformance fixes and/or photographic evidence of fixed items rather than re-audit in certain</w:t>
            </w:r>
            <w:r>
              <w:rPr>
                <w:spacing w:val="-8"/>
              </w:rPr>
              <w:t xml:space="preserve"> </w:t>
            </w:r>
            <w:r>
              <w:t>circumstances</w:t>
            </w:r>
          </w:p>
          <w:p w14:paraId="65CBA152" w14:textId="77777777" w:rsidR="00734179" w:rsidRDefault="00734179" w:rsidP="00734179">
            <w:pPr>
              <w:pStyle w:val="TableParagraph"/>
              <w:numPr>
                <w:ilvl w:val="0"/>
                <w:numId w:val="48"/>
              </w:numPr>
              <w:tabs>
                <w:tab w:val="left" w:pos="487"/>
                <w:tab w:val="left" w:pos="488"/>
              </w:tabs>
              <w:spacing w:before="16" w:line="252" w:lineRule="exact"/>
              <w:ind w:right="246" w:hanging="432"/>
            </w:pPr>
            <w:r>
              <w:t>Have 2 auditors attend larger audits to expedite process and ensure</w:t>
            </w:r>
            <w:r>
              <w:rPr>
                <w:spacing w:val="-5"/>
              </w:rPr>
              <w:t xml:space="preserve"> </w:t>
            </w:r>
            <w:r>
              <w:t>consistency</w:t>
            </w:r>
          </w:p>
          <w:p w14:paraId="0FB78278" w14:textId="0487B368" w:rsidR="000D250D" w:rsidRDefault="00734179" w:rsidP="00734179">
            <w:pPr>
              <w:pStyle w:val="TableParagraph"/>
              <w:numPr>
                <w:ilvl w:val="0"/>
                <w:numId w:val="48"/>
              </w:numPr>
              <w:tabs>
                <w:tab w:val="left" w:pos="487"/>
                <w:tab w:val="left" w:pos="488"/>
              </w:tabs>
              <w:spacing w:before="16" w:line="252" w:lineRule="exact"/>
              <w:ind w:right="246" w:hanging="432"/>
            </w:pPr>
            <w:r>
              <w:t>Implemented escalation process for multiple failed audits to pre-empt future</w:t>
            </w:r>
            <w:r w:rsidRPr="00734179">
              <w:rPr>
                <w:spacing w:val="-12"/>
              </w:rPr>
              <w:t xml:space="preserve"> </w:t>
            </w:r>
            <w:r>
              <w:t>issues</w:t>
            </w:r>
          </w:p>
          <w:p w14:paraId="1D73D52C" w14:textId="5585D376" w:rsidR="00734179" w:rsidRDefault="00734179" w:rsidP="00734179">
            <w:pPr>
              <w:pStyle w:val="TableParagraph"/>
              <w:tabs>
                <w:tab w:val="left" w:pos="487"/>
                <w:tab w:val="left" w:pos="488"/>
              </w:tabs>
              <w:spacing w:before="16" w:line="252" w:lineRule="exact"/>
              <w:ind w:left="55" w:right="246"/>
            </w:pPr>
            <w:r>
              <w:t>Established performance targets</w:t>
            </w:r>
          </w:p>
          <w:p w14:paraId="0A0E4B95" w14:textId="73318D0A" w:rsidR="00734179" w:rsidRDefault="00734179" w:rsidP="00734179">
            <w:pPr>
              <w:pStyle w:val="TableParagraph"/>
              <w:numPr>
                <w:ilvl w:val="0"/>
                <w:numId w:val="48"/>
              </w:numPr>
              <w:tabs>
                <w:tab w:val="left" w:pos="487"/>
                <w:tab w:val="left" w:pos="488"/>
              </w:tabs>
              <w:spacing w:before="16" w:line="252" w:lineRule="exact"/>
              <w:ind w:right="246"/>
            </w:pPr>
            <w:r>
              <w:t>Audits – Target time frame of 5 – 8 business days from compliant request</w:t>
            </w:r>
          </w:p>
          <w:p w14:paraId="4EFCA368" w14:textId="1B4B3391" w:rsidR="00734179" w:rsidRPr="00734179" w:rsidRDefault="00734179" w:rsidP="00734179">
            <w:pPr>
              <w:pStyle w:val="TableParagraph"/>
              <w:numPr>
                <w:ilvl w:val="0"/>
                <w:numId w:val="48"/>
              </w:numPr>
              <w:tabs>
                <w:tab w:val="left" w:pos="487"/>
                <w:tab w:val="left" w:pos="488"/>
              </w:tabs>
              <w:spacing w:before="16" w:line="252" w:lineRule="exact"/>
              <w:ind w:right="246"/>
            </w:pPr>
            <w:r>
              <w:t>Re-audits – Target timeframe of 8 to 10 business days</w:t>
            </w:r>
          </w:p>
          <w:p w14:paraId="134A810B" w14:textId="77777777" w:rsidR="00FD790F" w:rsidRDefault="00FD790F" w:rsidP="00FD790F">
            <w:pPr>
              <w:pStyle w:val="TableBody"/>
              <w:ind w:left="47"/>
              <w:rPr>
                <w:color w:val="000000" w:themeColor="text1"/>
              </w:rPr>
            </w:pPr>
            <w:r>
              <w:rPr>
                <w:color w:val="000000" w:themeColor="text1"/>
              </w:rPr>
              <w:t>Performance Reporting</w:t>
            </w:r>
          </w:p>
          <w:p w14:paraId="3FAE59B8" w14:textId="77777777" w:rsidR="00FD790F" w:rsidRDefault="00FD790F" w:rsidP="00FD790F">
            <w:pPr>
              <w:pStyle w:val="TableBody"/>
              <w:numPr>
                <w:ilvl w:val="0"/>
                <w:numId w:val="40"/>
              </w:numPr>
              <w:rPr>
                <w:color w:val="000000" w:themeColor="text1"/>
              </w:rPr>
            </w:pPr>
            <w:r>
              <w:rPr>
                <w:color w:val="000000" w:themeColor="text1"/>
              </w:rPr>
              <w:t>Audit performance and trends have been shared with stakeholders at the industry forum on 5</w:t>
            </w:r>
            <w:r w:rsidRPr="00FD790F">
              <w:rPr>
                <w:color w:val="000000" w:themeColor="text1"/>
                <w:vertAlign w:val="superscript"/>
              </w:rPr>
              <w:t>th</w:t>
            </w:r>
            <w:r>
              <w:rPr>
                <w:color w:val="000000" w:themeColor="text1"/>
              </w:rPr>
              <w:t xml:space="preserve"> September and can be found on our website.</w:t>
            </w:r>
          </w:p>
          <w:p w14:paraId="1EB4C85B" w14:textId="77777777" w:rsidR="00BE7A2F" w:rsidRPr="00395400" w:rsidRDefault="00BE7A2F" w:rsidP="00BE7A2F">
            <w:pPr>
              <w:pStyle w:val="TableBody"/>
              <w:ind w:left="47"/>
              <w:rPr>
                <w:color w:val="000000" w:themeColor="text1"/>
              </w:rPr>
            </w:pPr>
            <w:r w:rsidRPr="00395400">
              <w:rPr>
                <w:color w:val="000000" w:themeColor="text1"/>
              </w:rPr>
              <w:t>IT Systems</w:t>
            </w:r>
          </w:p>
          <w:p w14:paraId="1876FCBD" w14:textId="77777777" w:rsidR="00BE7A2F" w:rsidRPr="00FD790F" w:rsidRDefault="00BE7A2F" w:rsidP="00BE7A2F">
            <w:pPr>
              <w:pStyle w:val="TableBody"/>
              <w:numPr>
                <w:ilvl w:val="0"/>
                <w:numId w:val="44"/>
              </w:numPr>
              <w:rPr>
                <w:color w:val="000000" w:themeColor="text1"/>
              </w:rPr>
            </w:pPr>
            <w:r w:rsidRPr="00395400">
              <w:rPr>
                <w:color w:val="000000" w:themeColor="text1"/>
              </w:rPr>
              <w:t>The online portal has been upgraded to provide the ability for the customer/developer to track their project throughout the development process including audit which went live on 14/11/19</w:t>
            </w:r>
          </w:p>
          <w:p w14:paraId="3D596326" w14:textId="0425F82C" w:rsidR="00BE7A2F" w:rsidRPr="00AD719C" w:rsidRDefault="00BE7A2F" w:rsidP="00BE7A2F">
            <w:pPr>
              <w:pStyle w:val="TableBody"/>
              <w:rPr>
                <w:color w:val="000000" w:themeColor="text1"/>
              </w:rPr>
            </w:pP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120AD0A1" w14:textId="40EE2AB0" w:rsidR="00E30614" w:rsidRPr="00EE2A54" w:rsidRDefault="00E30614" w:rsidP="00FD790F">
            <w:pPr>
              <w:pStyle w:val="TableBody"/>
              <w:rPr>
                <w:color w:val="000000" w:themeColor="text1"/>
              </w:rPr>
            </w:pPr>
          </w:p>
        </w:tc>
        <w:tc>
          <w:tcPr>
            <w:tcW w:w="1413" w:type="dxa"/>
            <w:tcBorders>
              <w:left w:val="single" w:sz="4" w:space="0" w:color="FFFFFF" w:themeColor="background1"/>
            </w:tcBorders>
            <w:shd w:val="clear" w:color="auto" w:fill="00B050"/>
          </w:tcPr>
          <w:p w14:paraId="0185BA91" w14:textId="57146AC6" w:rsidR="00375975" w:rsidRPr="00EE2A54" w:rsidRDefault="00FD790F" w:rsidP="00BC6230">
            <w:pPr>
              <w:pStyle w:val="TableBody"/>
              <w:rPr>
                <w:color w:val="000000" w:themeColor="text1"/>
              </w:rPr>
            </w:pPr>
            <w:r>
              <w:rPr>
                <w:color w:val="000000" w:themeColor="text1"/>
              </w:rPr>
              <w:t>Completed</w:t>
            </w:r>
          </w:p>
        </w:tc>
      </w:tr>
      <w:tr w:rsidR="00734179" w14:paraId="4775FF00" w14:textId="77777777" w:rsidTr="2FD73228">
        <w:trPr>
          <w:cnfStyle w:val="000000010000" w:firstRow="0" w:lastRow="0" w:firstColumn="0" w:lastColumn="0" w:oddVBand="0" w:evenVBand="0" w:oddHBand="0" w:evenHBand="1" w:firstRowFirstColumn="0" w:firstRowLastColumn="0" w:lastRowFirstColumn="0" w:lastRowLastColumn="0"/>
          <w:cantSplit/>
        </w:trPr>
        <w:tc>
          <w:tcPr>
            <w:tcW w:w="2001" w:type="dxa"/>
          </w:tcPr>
          <w:p w14:paraId="530B03FF" w14:textId="77777777" w:rsidR="00375975" w:rsidRPr="00EE2A54" w:rsidRDefault="00F34EA9" w:rsidP="00655D9D">
            <w:pPr>
              <w:pStyle w:val="TableBody"/>
              <w:rPr>
                <w:color w:val="000000" w:themeColor="text1"/>
              </w:rPr>
            </w:pPr>
            <w:r w:rsidRPr="00EE2A54">
              <w:rPr>
                <w:color w:val="000000" w:themeColor="text1"/>
              </w:rPr>
              <w:lastRenderedPageBreak/>
              <w:t>5. Promoting efficient competition in connection services (or component parts)</w:t>
            </w:r>
          </w:p>
        </w:tc>
        <w:tc>
          <w:tcPr>
            <w:tcW w:w="2338" w:type="dxa"/>
            <w:tcBorders>
              <w:right w:val="single" w:sz="4" w:space="0" w:color="FFFFFF" w:themeColor="background1"/>
            </w:tcBorders>
          </w:tcPr>
          <w:p w14:paraId="3001F6DB" w14:textId="77777777" w:rsidR="00375975" w:rsidRPr="00EE2A54" w:rsidRDefault="00375975" w:rsidP="00BC6230">
            <w:pPr>
              <w:pStyle w:val="TableBody"/>
              <w:rPr>
                <w:color w:val="000000" w:themeColor="text1"/>
              </w:rPr>
            </w:pPr>
            <w:r w:rsidRPr="00EE2A54">
              <w:rPr>
                <w:color w:val="000000" w:themeColor="text1"/>
              </w:rPr>
              <w:t xml:space="preserve">Review the contestability of components of the connection service </w:t>
            </w:r>
          </w:p>
        </w:tc>
        <w:tc>
          <w:tcPr>
            <w:tcW w:w="5406" w:type="dxa"/>
            <w:tcBorders>
              <w:top w:val="single" w:sz="8" w:space="0" w:color="FFFFFF" w:themeColor="background1"/>
              <w:left w:val="single" w:sz="4" w:space="0" w:color="FFFFFF" w:themeColor="background1"/>
              <w:bottom w:val="single" w:sz="8" w:space="0" w:color="FFFFFF" w:themeColor="background1"/>
            </w:tcBorders>
          </w:tcPr>
          <w:p w14:paraId="209F8336" w14:textId="77777777" w:rsidR="00375975" w:rsidRPr="004D37E8" w:rsidRDefault="00375975" w:rsidP="000D250D">
            <w:pPr>
              <w:pStyle w:val="TableBody"/>
              <w:numPr>
                <w:ilvl w:val="0"/>
                <w:numId w:val="40"/>
              </w:numPr>
              <w:ind w:left="407"/>
              <w:rPr>
                <w:rFonts w:eastAsia="Tahoma" w:cstheme="minorHAnsi"/>
              </w:rPr>
            </w:pPr>
            <w:r w:rsidRPr="004D37E8">
              <w:rPr>
                <w:rFonts w:eastAsia="Tahoma" w:cstheme="minorHAnsi"/>
              </w:rPr>
              <w:t xml:space="preserve">Undertaken a review of the contestability framework </w:t>
            </w:r>
          </w:p>
          <w:p w14:paraId="35743BB5" w14:textId="77777777" w:rsidR="00375975" w:rsidRPr="00EE2A54" w:rsidRDefault="00375975" w:rsidP="000C69D4">
            <w:pPr>
              <w:pStyle w:val="TableBody"/>
              <w:numPr>
                <w:ilvl w:val="0"/>
                <w:numId w:val="40"/>
              </w:numPr>
              <w:ind w:left="407"/>
              <w:rPr>
                <w:color w:val="000000" w:themeColor="text1"/>
              </w:rPr>
            </w:pPr>
            <w:r w:rsidRPr="004D37E8">
              <w:rPr>
                <w:rFonts w:eastAsia="Tahoma" w:cstheme="minorHAnsi"/>
              </w:rPr>
              <w:t>Final copy of the connection contestability report sent to ESC for review</w:t>
            </w: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629D792A" w14:textId="77777777" w:rsidR="00375975" w:rsidRPr="00EE2A54" w:rsidRDefault="000D250D" w:rsidP="000D250D">
            <w:pPr>
              <w:pStyle w:val="TableBody"/>
              <w:ind w:left="47"/>
              <w:rPr>
                <w:color w:val="000000" w:themeColor="text1"/>
              </w:rPr>
            </w:pPr>
            <w:r>
              <w:rPr>
                <w:color w:val="000000" w:themeColor="text1"/>
              </w:rPr>
              <w:t>N/A</w:t>
            </w:r>
          </w:p>
        </w:tc>
        <w:tc>
          <w:tcPr>
            <w:tcW w:w="1413" w:type="dxa"/>
            <w:tcBorders>
              <w:left w:val="single" w:sz="4" w:space="0" w:color="FFFFFF" w:themeColor="background1"/>
            </w:tcBorders>
            <w:shd w:val="clear" w:color="auto" w:fill="00B050"/>
          </w:tcPr>
          <w:p w14:paraId="3EC20B51" w14:textId="77777777" w:rsidR="00375975" w:rsidRPr="00EE2A54" w:rsidRDefault="00375975" w:rsidP="00BC6230">
            <w:pPr>
              <w:pStyle w:val="TableBody"/>
              <w:rPr>
                <w:color w:val="000000" w:themeColor="text1"/>
              </w:rPr>
            </w:pPr>
            <w:r>
              <w:rPr>
                <w:color w:val="000000" w:themeColor="text1"/>
              </w:rPr>
              <w:t>Completed</w:t>
            </w:r>
          </w:p>
        </w:tc>
      </w:tr>
      <w:tr w:rsidR="00734179" w14:paraId="443AD774" w14:textId="77777777" w:rsidTr="2FD73228">
        <w:trPr>
          <w:cnfStyle w:val="000000100000" w:firstRow="0" w:lastRow="0" w:firstColumn="0" w:lastColumn="0" w:oddVBand="0" w:evenVBand="0" w:oddHBand="1" w:evenHBand="0" w:firstRowFirstColumn="0" w:firstRowLastColumn="0" w:lastRowFirstColumn="0" w:lastRowLastColumn="0"/>
          <w:cantSplit/>
        </w:trPr>
        <w:tc>
          <w:tcPr>
            <w:tcW w:w="2001" w:type="dxa"/>
          </w:tcPr>
          <w:p w14:paraId="1FC39945" w14:textId="77777777" w:rsidR="00375975" w:rsidRPr="00EE2A54" w:rsidRDefault="00375975" w:rsidP="00655D9D">
            <w:pPr>
              <w:pStyle w:val="TableBody"/>
              <w:rPr>
                <w:color w:val="000000" w:themeColor="text1"/>
              </w:rPr>
            </w:pPr>
          </w:p>
        </w:tc>
        <w:tc>
          <w:tcPr>
            <w:tcW w:w="2338" w:type="dxa"/>
            <w:tcBorders>
              <w:right w:val="single" w:sz="4" w:space="0" w:color="FFFFFF" w:themeColor="background1"/>
            </w:tcBorders>
          </w:tcPr>
          <w:p w14:paraId="1CF29773" w14:textId="77777777" w:rsidR="00375975" w:rsidRPr="00EE2A54" w:rsidRDefault="00375975" w:rsidP="001C29F6">
            <w:pPr>
              <w:pStyle w:val="TableBody"/>
              <w:rPr>
                <w:color w:val="000000" w:themeColor="text1"/>
              </w:rPr>
            </w:pPr>
            <w:r w:rsidRPr="00EE2A54">
              <w:rPr>
                <w:color w:val="000000" w:themeColor="text1"/>
              </w:rPr>
              <w:t>Use the AER Service Classification to seek appropriate service descriptions</w:t>
            </w:r>
          </w:p>
          <w:p w14:paraId="0562CB0E" w14:textId="77777777" w:rsidR="00375975" w:rsidRPr="00EE2A54" w:rsidRDefault="00375975" w:rsidP="00BC6230">
            <w:pPr>
              <w:pStyle w:val="TableBody"/>
              <w:rPr>
                <w:color w:val="000000" w:themeColor="text1"/>
              </w:rPr>
            </w:pPr>
          </w:p>
        </w:tc>
        <w:tc>
          <w:tcPr>
            <w:tcW w:w="5406" w:type="dxa"/>
            <w:tcBorders>
              <w:top w:val="single" w:sz="8" w:space="0" w:color="FFFFFF" w:themeColor="background1"/>
              <w:left w:val="single" w:sz="4" w:space="0" w:color="FFFFFF" w:themeColor="background1"/>
              <w:bottom w:val="single" w:sz="8" w:space="0" w:color="FFFFFF" w:themeColor="background1"/>
            </w:tcBorders>
          </w:tcPr>
          <w:p w14:paraId="5987F8F4" w14:textId="77777777" w:rsidR="00375975" w:rsidRDefault="00375975" w:rsidP="000D250D">
            <w:pPr>
              <w:pStyle w:val="TableBody"/>
              <w:numPr>
                <w:ilvl w:val="0"/>
                <w:numId w:val="40"/>
              </w:numPr>
              <w:ind w:left="407"/>
              <w:rPr>
                <w:rFonts w:eastAsia="Tahoma" w:cstheme="minorHAnsi"/>
              </w:rPr>
            </w:pPr>
            <w:r w:rsidRPr="004D37E8">
              <w:rPr>
                <w:rFonts w:eastAsia="Tahoma" w:cstheme="minorHAnsi"/>
              </w:rPr>
              <w:t>During the AER’s service classification process, we submitted service classificatio</w:t>
            </w:r>
            <w:r w:rsidR="00C731B9">
              <w:rPr>
                <w:rFonts w:eastAsia="Tahoma" w:cstheme="minorHAnsi"/>
              </w:rPr>
              <w:t>ns that accommodate competition</w:t>
            </w:r>
          </w:p>
          <w:p w14:paraId="34CE0A41" w14:textId="77777777" w:rsidR="000D250D" w:rsidRPr="00E84DA4" w:rsidRDefault="000D250D" w:rsidP="000D250D">
            <w:pPr>
              <w:pStyle w:val="TableBody"/>
              <w:rPr>
                <w:rFonts w:eastAsia="Tahoma" w:cstheme="minorHAnsi"/>
              </w:rPr>
            </w:pP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34824FA9" w14:textId="77777777" w:rsidR="00375975" w:rsidRPr="00EE2A54" w:rsidRDefault="000D250D" w:rsidP="00490E2B">
            <w:pPr>
              <w:pStyle w:val="TableBody"/>
              <w:rPr>
                <w:color w:val="000000" w:themeColor="text1"/>
              </w:rPr>
            </w:pPr>
            <w:r>
              <w:rPr>
                <w:color w:val="000000" w:themeColor="text1"/>
              </w:rPr>
              <w:t>N/A</w:t>
            </w:r>
          </w:p>
        </w:tc>
        <w:tc>
          <w:tcPr>
            <w:tcW w:w="1413" w:type="dxa"/>
            <w:tcBorders>
              <w:left w:val="single" w:sz="4" w:space="0" w:color="FFFFFF" w:themeColor="background1"/>
            </w:tcBorders>
            <w:shd w:val="clear" w:color="auto" w:fill="00B050"/>
          </w:tcPr>
          <w:p w14:paraId="7B7152C6" w14:textId="77777777" w:rsidR="00375975" w:rsidRPr="00EE2A54" w:rsidRDefault="00375975" w:rsidP="00BC6230">
            <w:pPr>
              <w:pStyle w:val="TableBody"/>
              <w:rPr>
                <w:color w:val="000000" w:themeColor="text1"/>
              </w:rPr>
            </w:pPr>
            <w:r>
              <w:rPr>
                <w:color w:val="000000" w:themeColor="text1"/>
              </w:rPr>
              <w:t>Completed</w:t>
            </w:r>
          </w:p>
        </w:tc>
      </w:tr>
      <w:tr w:rsidR="00734179" w14:paraId="57609BA6" w14:textId="77777777" w:rsidTr="2FD73228">
        <w:trPr>
          <w:cnfStyle w:val="000000010000" w:firstRow="0" w:lastRow="0" w:firstColumn="0" w:lastColumn="0" w:oddVBand="0" w:evenVBand="0" w:oddHBand="0" w:evenHBand="1" w:firstRowFirstColumn="0" w:firstRowLastColumn="0" w:lastRowFirstColumn="0" w:lastRowLastColumn="0"/>
          <w:cantSplit/>
        </w:trPr>
        <w:tc>
          <w:tcPr>
            <w:tcW w:w="2001" w:type="dxa"/>
          </w:tcPr>
          <w:p w14:paraId="62F9135E" w14:textId="77777777" w:rsidR="00375975" w:rsidRPr="00EE2A54" w:rsidRDefault="00375975" w:rsidP="00D3288E">
            <w:pPr>
              <w:pStyle w:val="TableBody"/>
              <w:rPr>
                <w:color w:val="000000" w:themeColor="text1"/>
              </w:rPr>
            </w:pPr>
            <w:r w:rsidRPr="00EE2A54">
              <w:rPr>
                <w:color w:val="000000" w:themeColor="text1"/>
              </w:rPr>
              <w:t>6. Address resource constraints brought about by increased number of developments and pressure on qualified industry resources</w:t>
            </w:r>
          </w:p>
        </w:tc>
        <w:tc>
          <w:tcPr>
            <w:tcW w:w="2338" w:type="dxa"/>
            <w:tcBorders>
              <w:right w:val="single" w:sz="4" w:space="0" w:color="FFFFFF" w:themeColor="background1"/>
            </w:tcBorders>
          </w:tcPr>
          <w:p w14:paraId="1DB35365" w14:textId="7FAD39EC" w:rsidR="00375975" w:rsidRPr="00EE2A54" w:rsidRDefault="009F1D9C" w:rsidP="000D250D">
            <w:pPr>
              <w:pStyle w:val="TableBody"/>
              <w:rPr>
                <w:color w:val="000000" w:themeColor="text1"/>
              </w:rPr>
            </w:pPr>
            <w:r w:rsidRPr="00EE2A54">
              <w:rPr>
                <w:color w:val="000000" w:themeColor="text1"/>
              </w:rPr>
              <w:t>Prepare a</w:t>
            </w:r>
            <w:r w:rsidR="000D250D">
              <w:rPr>
                <w:color w:val="000000" w:themeColor="text1"/>
              </w:rPr>
              <w:t>n annual</w:t>
            </w:r>
            <w:r w:rsidRPr="00EE2A54">
              <w:rPr>
                <w:color w:val="000000" w:themeColor="text1"/>
              </w:rPr>
              <w:t xml:space="preserve"> report outlining initiatives to increase resourcing </w:t>
            </w:r>
            <w:r w:rsidR="000D250D">
              <w:rPr>
                <w:color w:val="000000" w:themeColor="text1"/>
              </w:rPr>
              <w:t>(due 30 Nov 2019)</w:t>
            </w:r>
            <w:r w:rsidRPr="00EE2A54">
              <w:rPr>
                <w:color w:val="000000" w:themeColor="text1"/>
              </w:rPr>
              <w:t xml:space="preserve"> </w:t>
            </w:r>
          </w:p>
        </w:tc>
        <w:tc>
          <w:tcPr>
            <w:tcW w:w="5406" w:type="dxa"/>
            <w:tcBorders>
              <w:top w:val="single" w:sz="8" w:space="0" w:color="FFFFFF" w:themeColor="background1"/>
              <w:left w:val="single" w:sz="4" w:space="0" w:color="FFFFFF" w:themeColor="background1"/>
              <w:bottom w:val="single" w:sz="8" w:space="0" w:color="FFFFFF" w:themeColor="background1"/>
            </w:tcBorders>
          </w:tcPr>
          <w:p w14:paraId="2607D0F0" w14:textId="77777777" w:rsidR="00375975" w:rsidRPr="00EE2A54" w:rsidRDefault="000D250D" w:rsidP="00C731B9">
            <w:pPr>
              <w:pStyle w:val="TableBody"/>
              <w:numPr>
                <w:ilvl w:val="0"/>
                <w:numId w:val="40"/>
              </w:numPr>
              <w:rPr>
                <w:color w:val="000000" w:themeColor="text1"/>
              </w:rPr>
            </w:pPr>
            <w:r>
              <w:rPr>
                <w:color w:val="000000" w:themeColor="text1"/>
              </w:rPr>
              <w:t>We have established a Contestable Works Team, streamlined number of key processes as well as added to our audit resourcing levels to ensure that we’re able to meet our performance targets</w:t>
            </w:r>
          </w:p>
        </w:tc>
        <w:tc>
          <w:tcPr>
            <w:tcW w:w="3443" w:type="dxa"/>
            <w:tcBorders>
              <w:top w:val="single" w:sz="8" w:space="0" w:color="FFFFFF" w:themeColor="background1"/>
              <w:bottom w:val="single" w:sz="8" w:space="0" w:color="FFFFFF" w:themeColor="background1"/>
              <w:right w:val="single" w:sz="4" w:space="0" w:color="FFFFFF" w:themeColor="background1"/>
            </w:tcBorders>
          </w:tcPr>
          <w:p w14:paraId="0F1DBF51" w14:textId="116FF31D" w:rsidR="00375975" w:rsidRPr="00EE2A54" w:rsidRDefault="00375975" w:rsidP="00D01394">
            <w:pPr>
              <w:pStyle w:val="TableBody"/>
              <w:ind w:left="407"/>
              <w:rPr>
                <w:color w:val="000000" w:themeColor="text1"/>
              </w:rPr>
            </w:pPr>
          </w:p>
        </w:tc>
        <w:tc>
          <w:tcPr>
            <w:tcW w:w="1413" w:type="dxa"/>
            <w:tcBorders>
              <w:left w:val="single" w:sz="4" w:space="0" w:color="FFFFFF" w:themeColor="background1"/>
            </w:tcBorders>
            <w:shd w:val="clear" w:color="auto" w:fill="92D050"/>
          </w:tcPr>
          <w:p w14:paraId="62EBF3C5" w14:textId="77777777" w:rsidR="00375975" w:rsidRPr="00EE2A54" w:rsidRDefault="00375975" w:rsidP="00BC6230">
            <w:pPr>
              <w:pStyle w:val="TableBody"/>
              <w:rPr>
                <w:color w:val="000000" w:themeColor="text1"/>
              </w:rPr>
            </w:pPr>
          </w:p>
        </w:tc>
      </w:tr>
    </w:tbl>
    <w:p w14:paraId="6D98A12B" w14:textId="77777777" w:rsidR="0072692C" w:rsidRDefault="0072692C">
      <w:pPr>
        <w:spacing w:before="0" w:line="259" w:lineRule="auto"/>
        <w:rPr>
          <w:rFonts w:ascii="Tahoma" w:eastAsiaTheme="majorEastAsia" w:hAnsi="Tahoma" w:cstheme="majorBidi"/>
          <w:b/>
          <w:sz w:val="26"/>
          <w:szCs w:val="26"/>
        </w:rPr>
      </w:pPr>
      <w:r>
        <w:br w:type="page"/>
      </w:r>
    </w:p>
    <w:p w14:paraId="2946DB82" w14:textId="77777777" w:rsidR="0072692C" w:rsidRDefault="0072692C" w:rsidP="00006D02">
      <w:pPr>
        <w:pStyle w:val="Heading2"/>
        <w:sectPr w:rsidR="0072692C" w:rsidSect="00440B4A">
          <w:headerReference w:type="first" r:id="rId25"/>
          <w:pgSz w:w="16838" w:h="11906" w:orient="landscape" w:code="9"/>
          <w:pgMar w:top="1134" w:right="1134" w:bottom="1276" w:left="1134" w:header="709" w:footer="692" w:gutter="0"/>
          <w:cols w:space="708"/>
          <w:titlePg/>
          <w:docGrid w:linePitch="360"/>
        </w:sectPr>
      </w:pPr>
    </w:p>
    <w:p w14:paraId="22950A0F" w14:textId="77777777" w:rsidR="00FE4AA9" w:rsidRDefault="00006D02" w:rsidP="00006D02">
      <w:pPr>
        <w:pStyle w:val="Heading2"/>
      </w:pPr>
      <w:r>
        <w:lastRenderedPageBreak/>
        <w:t>Further details</w:t>
      </w:r>
    </w:p>
    <w:p w14:paraId="0F276D70" w14:textId="77777777" w:rsidR="00482595" w:rsidRPr="00482595" w:rsidRDefault="00482595" w:rsidP="00482595">
      <w:r>
        <w:t>Further details on each outcome are attached to this update.</w:t>
      </w:r>
    </w:p>
    <w:p w14:paraId="2A60458C" w14:textId="77777777" w:rsidR="0051711A" w:rsidRDefault="0051711A" w:rsidP="00781D9F">
      <w:pPr>
        <w:pStyle w:val="Heading3"/>
      </w:pPr>
      <w:r>
        <w:t>Performance against KPIs</w:t>
      </w:r>
    </w:p>
    <w:p w14:paraId="320C2209" w14:textId="77777777" w:rsidR="00781D9F" w:rsidRPr="00781D9F" w:rsidRDefault="00781D9F" w:rsidP="00781D9F">
      <w:r>
        <w:t xml:space="preserve">In Table 2 each distribution business should report its performance against its KPIs. </w:t>
      </w:r>
      <w:r w:rsidR="00E72BC1">
        <w:t>Distribution businesses should provide a short expla</w:t>
      </w:r>
      <w:r w:rsidR="00F82DC4">
        <w:t>nation</w:t>
      </w:r>
      <w:r w:rsidR="00537FFD">
        <w:t xml:space="preserve"> (in the column ‘Detail’)</w:t>
      </w:r>
      <w:r w:rsidR="00E72BC1">
        <w:t xml:space="preserve"> </w:t>
      </w:r>
      <w:r w:rsidR="00F82DC4">
        <w:t>if</w:t>
      </w:r>
      <w:r w:rsidR="00E72BC1">
        <w:t xml:space="preserve"> a KPI has not been met along with proposed corrective actions. </w:t>
      </w:r>
    </w:p>
    <w:p w14:paraId="4BE92EC6" w14:textId="77777777" w:rsidR="00FE4AA9" w:rsidRDefault="0051711A" w:rsidP="00440B1F">
      <w:pPr>
        <w:pStyle w:val="Heading3"/>
      </w:pPr>
      <w:r>
        <w:t>Table 2 – Performance against KPIs</w:t>
      </w:r>
    </w:p>
    <w:tbl>
      <w:tblPr>
        <w:tblStyle w:val="TableGrid"/>
        <w:tblW w:w="0" w:type="auto"/>
        <w:tblLook w:val="04A0" w:firstRow="1" w:lastRow="0" w:firstColumn="1" w:lastColumn="0" w:noHBand="0" w:noVBand="1"/>
      </w:tblPr>
      <w:tblGrid>
        <w:gridCol w:w="2052"/>
        <w:gridCol w:w="2124"/>
        <w:gridCol w:w="1742"/>
        <w:gridCol w:w="1945"/>
        <w:gridCol w:w="1775"/>
      </w:tblGrid>
      <w:tr w:rsidR="006B35FD" w14:paraId="5CCE3CFC" w14:textId="77777777" w:rsidTr="009769EB">
        <w:trPr>
          <w:cnfStyle w:val="100000000000" w:firstRow="1" w:lastRow="0" w:firstColumn="0" w:lastColumn="0" w:oddVBand="0" w:evenVBand="0" w:oddHBand="0" w:evenHBand="0" w:firstRowFirstColumn="0" w:firstRowLastColumn="0" w:lastRowFirstColumn="0" w:lastRowLastColumn="0"/>
          <w:tblHeader/>
        </w:trPr>
        <w:tc>
          <w:tcPr>
            <w:tcW w:w="2052" w:type="dxa"/>
          </w:tcPr>
          <w:p w14:paraId="306F73FF" w14:textId="77777777" w:rsidR="006B35FD" w:rsidRDefault="006B35FD" w:rsidP="009769EB">
            <w:r>
              <w:t>Measure (KPI)</w:t>
            </w:r>
          </w:p>
        </w:tc>
        <w:tc>
          <w:tcPr>
            <w:tcW w:w="2124" w:type="dxa"/>
          </w:tcPr>
          <w:p w14:paraId="0DE22E1E" w14:textId="77777777" w:rsidR="006B35FD" w:rsidRDefault="006B35FD" w:rsidP="009769EB">
            <w:r>
              <w:t>Reporting timeframe</w:t>
            </w:r>
          </w:p>
        </w:tc>
        <w:tc>
          <w:tcPr>
            <w:tcW w:w="1742" w:type="dxa"/>
          </w:tcPr>
          <w:p w14:paraId="287FF7DE" w14:textId="77777777" w:rsidR="006B35FD" w:rsidRDefault="006B35FD" w:rsidP="009769EB">
            <w:r>
              <w:t>Result (business days)</w:t>
            </w:r>
          </w:p>
        </w:tc>
        <w:tc>
          <w:tcPr>
            <w:tcW w:w="1945" w:type="dxa"/>
          </w:tcPr>
          <w:p w14:paraId="38A5A194" w14:textId="77777777" w:rsidR="006B35FD" w:rsidRDefault="006B35FD" w:rsidP="009769EB">
            <w:r>
              <w:rPr>
                <w:rFonts w:ascii="Arial"/>
                <w:color w:val="FFFFFF"/>
              </w:rPr>
              <w:t>Performance against Target</w:t>
            </w:r>
            <w:r>
              <w:rPr>
                <w:rFonts w:ascii="Arial"/>
                <w:color w:val="FFFFFF"/>
                <w:position w:val="10"/>
                <w:sz w:val="14"/>
              </w:rPr>
              <w:t>1,2</w:t>
            </w:r>
          </w:p>
        </w:tc>
        <w:tc>
          <w:tcPr>
            <w:tcW w:w="1775" w:type="dxa"/>
          </w:tcPr>
          <w:p w14:paraId="3C39D6EF" w14:textId="77777777" w:rsidR="006B35FD" w:rsidRDefault="006B35FD" w:rsidP="009769EB">
            <w:r>
              <w:t>Detail</w:t>
            </w:r>
          </w:p>
        </w:tc>
      </w:tr>
      <w:tr w:rsidR="006B35FD" w14:paraId="52B6FCBE" w14:textId="77777777" w:rsidTr="009769EB">
        <w:trPr>
          <w:cnfStyle w:val="000000100000" w:firstRow="0" w:lastRow="0" w:firstColumn="0" w:lastColumn="0" w:oddVBand="0" w:evenVBand="0" w:oddHBand="1" w:evenHBand="0" w:firstRowFirstColumn="0" w:firstRowLastColumn="0" w:lastRowFirstColumn="0" w:lastRowLastColumn="0"/>
        </w:trPr>
        <w:tc>
          <w:tcPr>
            <w:tcW w:w="2052" w:type="dxa"/>
          </w:tcPr>
          <w:p w14:paraId="1D331B62" w14:textId="77777777" w:rsidR="000D250D" w:rsidRPr="000D250D" w:rsidRDefault="000D250D" w:rsidP="000D250D">
            <w:r>
              <w:t xml:space="preserve">Master Plan review – We are replacing </w:t>
            </w:r>
            <w:r w:rsidRPr="000D250D">
              <w:t>staged scopes with a revised and contestable Master Planning process – this will remove network scoping from the critical path</w:t>
            </w:r>
            <w:r w:rsidR="0029525D">
              <w:t>. The new process will see us review Master Plans and associated stage scopes and should take this activity off the project critical path</w:t>
            </w:r>
          </w:p>
          <w:p w14:paraId="5997CC1D" w14:textId="77777777" w:rsidR="006B35FD" w:rsidRDefault="006B35FD" w:rsidP="009769EB"/>
        </w:tc>
        <w:tc>
          <w:tcPr>
            <w:tcW w:w="2124" w:type="dxa"/>
          </w:tcPr>
          <w:p w14:paraId="1311DF98" w14:textId="06B4FA9C" w:rsidR="006B35FD" w:rsidRDefault="00D32561" w:rsidP="009769EB">
            <w:r>
              <w:t>1Q2020</w:t>
            </w:r>
          </w:p>
        </w:tc>
        <w:tc>
          <w:tcPr>
            <w:tcW w:w="1742" w:type="dxa"/>
          </w:tcPr>
          <w:p w14:paraId="1BBB4547" w14:textId="24C7CD54" w:rsidR="007B0A5A" w:rsidRPr="009C4F0A" w:rsidRDefault="00DC2A05" w:rsidP="00D32561">
            <w:pPr>
              <w:rPr>
                <w:highlight w:val="yellow"/>
              </w:rPr>
            </w:pPr>
            <w:r w:rsidRPr="007B0A5A">
              <w:t xml:space="preserve">Overall average </w:t>
            </w:r>
            <w:r w:rsidR="00D32561">
              <w:t>for 2020 is 11 days</w:t>
            </w:r>
            <w:r w:rsidR="007B0A5A">
              <w:t xml:space="preserve">  </w:t>
            </w:r>
          </w:p>
        </w:tc>
        <w:tc>
          <w:tcPr>
            <w:tcW w:w="1945" w:type="dxa"/>
          </w:tcPr>
          <w:p w14:paraId="35AB0510" w14:textId="77777777" w:rsidR="006B35FD" w:rsidRDefault="006B35FD" w:rsidP="009769EB">
            <w:r>
              <w:t>Open to contestability</w:t>
            </w:r>
          </w:p>
          <w:p w14:paraId="18102F64" w14:textId="77777777" w:rsidR="003D25D4" w:rsidRDefault="003D25D4" w:rsidP="009769EB">
            <w:r>
              <w:t>Completed Master Plan review within 10 business days</w:t>
            </w:r>
          </w:p>
        </w:tc>
        <w:tc>
          <w:tcPr>
            <w:tcW w:w="1775" w:type="dxa"/>
          </w:tcPr>
          <w:p w14:paraId="0D7F0495" w14:textId="6A537F96" w:rsidR="002120C8" w:rsidRDefault="00D32561" w:rsidP="00AD0BA6">
            <w:r>
              <w:rPr>
                <w:rFonts w:ascii="Arial"/>
              </w:rPr>
              <w:t>The process is fully implemented. Have received positive feedback from the industry</w:t>
            </w:r>
            <w:r w:rsidR="002120C8">
              <w:rPr>
                <w:rFonts w:ascii="Arial"/>
              </w:rPr>
              <w:t>.</w:t>
            </w:r>
          </w:p>
        </w:tc>
      </w:tr>
      <w:tr w:rsidR="006B35FD" w14:paraId="5E79FBA3" w14:textId="77777777" w:rsidTr="009769EB">
        <w:trPr>
          <w:cnfStyle w:val="000000010000" w:firstRow="0" w:lastRow="0" w:firstColumn="0" w:lastColumn="0" w:oddVBand="0" w:evenVBand="0" w:oddHBand="0" w:evenHBand="1" w:firstRowFirstColumn="0" w:firstRowLastColumn="0" w:lastRowFirstColumn="0" w:lastRowLastColumn="0"/>
        </w:trPr>
        <w:tc>
          <w:tcPr>
            <w:tcW w:w="2052" w:type="dxa"/>
          </w:tcPr>
          <w:p w14:paraId="7494B906" w14:textId="12CDFD29" w:rsidR="006B35FD" w:rsidRDefault="003D25D4" w:rsidP="009769EB">
            <w:r>
              <w:t xml:space="preserve">Design Approvals –  </w:t>
            </w:r>
            <w:r w:rsidRPr="003D25D4">
              <w:t xml:space="preserve">Target completion of design plan audits and re-audits within 20 </w:t>
            </w:r>
            <w:r w:rsidR="00D01394">
              <w:rPr>
                <w:noProof/>
                <w:lang w:eastAsia="en-AU"/>
              </w:rPr>
              <w:lastRenderedPageBreak/>
              <mc:AlternateContent>
                <mc:Choice Requires="wps">
                  <w:drawing>
                    <wp:anchor distT="0" distB="0" distL="114300" distR="114300" simplePos="0" relativeHeight="251659264" behindDoc="0" locked="0" layoutInCell="1" allowOverlap="1" wp14:anchorId="18D47172" wp14:editId="0375CE1D">
                      <wp:simplePos x="0" y="0"/>
                      <wp:positionH relativeFrom="column">
                        <wp:posOffset>2413635</wp:posOffset>
                      </wp:positionH>
                      <wp:positionV relativeFrom="paragraph">
                        <wp:posOffset>738505</wp:posOffset>
                      </wp:positionV>
                      <wp:extent cx="1114425" cy="1114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14425" cy="1114425"/>
                              </a:xfrm>
                              <a:prstGeom prst="rect">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0.05pt;margin-top:58.15pt;width:87.7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" fillcolor="red" strokecolor="#6a0018 [1609]" strokeweight="1pt"/>
                  </w:pict>
                </mc:Fallback>
              </mc:AlternateContent>
            </w:r>
            <w:r w:rsidRPr="003D25D4">
              <w:t>business days</w:t>
            </w:r>
          </w:p>
        </w:tc>
        <w:tc>
          <w:tcPr>
            <w:tcW w:w="2124" w:type="dxa"/>
          </w:tcPr>
          <w:p w14:paraId="636CDC02" w14:textId="1CF11228" w:rsidR="006B35FD" w:rsidRDefault="00D32561" w:rsidP="009769EB">
            <w:r>
              <w:lastRenderedPageBreak/>
              <w:t>1Q2020</w:t>
            </w:r>
          </w:p>
        </w:tc>
        <w:tc>
          <w:tcPr>
            <w:tcW w:w="1742" w:type="dxa"/>
          </w:tcPr>
          <w:p w14:paraId="75E1ED62" w14:textId="2F8DB131" w:rsidR="006B35FD" w:rsidRDefault="00D32561" w:rsidP="009769EB">
            <w:r>
              <w:t>15.0</w:t>
            </w:r>
            <w:r w:rsidR="00C731B9">
              <w:t xml:space="preserve"> business days</w:t>
            </w:r>
          </w:p>
        </w:tc>
        <w:tc>
          <w:tcPr>
            <w:tcW w:w="1945" w:type="dxa"/>
          </w:tcPr>
          <w:p w14:paraId="344EB388" w14:textId="77777777" w:rsidR="006B35FD" w:rsidRDefault="003D25D4" w:rsidP="009769EB">
            <w:r>
              <w:rPr>
                <w:rFonts w:ascii="Arial"/>
              </w:rPr>
              <w:t xml:space="preserve">Competed design review within </w:t>
            </w:r>
            <w:r w:rsidR="006B35FD">
              <w:rPr>
                <w:rFonts w:ascii="Arial"/>
              </w:rPr>
              <w:t>20 business days</w:t>
            </w:r>
          </w:p>
        </w:tc>
        <w:tc>
          <w:tcPr>
            <w:tcW w:w="1775" w:type="dxa"/>
          </w:tcPr>
          <w:p w14:paraId="67C31597" w14:textId="77777777" w:rsidR="002B31C4" w:rsidRPr="002B31C4" w:rsidRDefault="002B31C4" w:rsidP="002B31C4">
            <w:r w:rsidRPr="002B31C4">
              <w:t xml:space="preserve">Establishing our Contestable Works Team has been a key reason we’ve </w:t>
            </w:r>
            <w:r w:rsidRPr="002B31C4">
              <w:lastRenderedPageBreak/>
              <w:t>been able to meet this performance targets</w:t>
            </w:r>
          </w:p>
          <w:p w14:paraId="441A8EF1" w14:textId="773A4DF7" w:rsidR="006B35FD" w:rsidRDefault="00BB63EA" w:rsidP="002120C8">
            <w:r>
              <w:t>57% of plans pass at 1</w:t>
            </w:r>
            <w:r w:rsidRPr="00BB63EA">
              <w:rPr>
                <w:vertAlign w:val="superscript"/>
              </w:rPr>
              <w:t>st</w:t>
            </w:r>
            <w:r>
              <w:t xml:space="preserve"> check including 34% which are 1</w:t>
            </w:r>
            <w:r w:rsidRPr="00BB63EA">
              <w:rPr>
                <w:vertAlign w:val="superscript"/>
              </w:rPr>
              <w:t>st</w:t>
            </w:r>
            <w:r>
              <w:t xml:space="preserve"> corrected by Powercor</w:t>
            </w:r>
          </w:p>
        </w:tc>
      </w:tr>
      <w:tr w:rsidR="006B35FD" w14:paraId="4E22F302" w14:textId="77777777" w:rsidTr="009769EB">
        <w:trPr>
          <w:cnfStyle w:val="000000100000" w:firstRow="0" w:lastRow="0" w:firstColumn="0" w:lastColumn="0" w:oddVBand="0" w:evenVBand="0" w:oddHBand="1" w:evenHBand="0" w:firstRowFirstColumn="0" w:firstRowLastColumn="0" w:lastRowFirstColumn="0" w:lastRowLastColumn="0"/>
        </w:trPr>
        <w:tc>
          <w:tcPr>
            <w:tcW w:w="2052" w:type="dxa"/>
          </w:tcPr>
          <w:p w14:paraId="3B727E01" w14:textId="77777777" w:rsidR="003D25D4" w:rsidRPr="003D25D4" w:rsidRDefault="006B35FD" w:rsidP="003D25D4">
            <w:r>
              <w:lastRenderedPageBreak/>
              <w:t>‘As Built Construction Audit’</w:t>
            </w:r>
            <w:r w:rsidR="003D25D4">
              <w:t xml:space="preserve"> - </w:t>
            </w:r>
            <w:r w:rsidR="003D25D4" w:rsidRPr="003D25D4">
              <w:t>Complete construction audit (from request to final report) within 5 to 8 business days</w:t>
            </w:r>
          </w:p>
          <w:p w14:paraId="29D6B04F" w14:textId="77777777" w:rsidR="006B35FD" w:rsidRDefault="006B35FD" w:rsidP="009769EB">
            <w:r>
              <w:t xml:space="preserve"> </w:t>
            </w:r>
          </w:p>
        </w:tc>
        <w:tc>
          <w:tcPr>
            <w:tcW w:w="2124" w:type="dxa"/>
          </w:tcPr>
          <w:p w14:paraId="5483FC1C" w14:textId="5BE5A717" w:rsidR="006B35FD" w:rsidRDefault="00D32561" w:rsidP="009769EB">
            <w:r>
              <w:t>1Q2020</w:t>
            </w:r>
          </w:p>
        </w:tc>
        <w:tc>
          <w:tcPr>
            <w:tcW w:w="1742" w:type="dxa"/>
          </w:tcPr>
          <w:p w14:paraId="7EA5015D" w14:textId="73DCEC87" w:rsidR="007B0A5A" w:rsidRDefault="00D32561" w:rsidP="00D17B45">
            <w:r>
              <w:t>5.5</w:t>
            </w:r>
            <w:r w:rsidR="007B0A5A">
              <w:t xml:space="preserve"> business days</w:t>
            </w:r>
          </w:p>
        </w:tc>
        <w:tc>
          <w:tcPr>
            <w:tcW w:w="1945" w:type="dxa"/>
          </w:tcPr>
          <w:p w14:paraId="2F641FBE" w14:textId="77777777" w:rsidR="006B35FD" w:rsidRDefault="003D25D4" w:rsidP="009769EB">
            <w:r>
              <w:rPr>
                <w:rFonts w:ascii="Arial"/>
              </w:rPr>
              <w:t xml:space="preserve">Complete as built construction audit within 5 to 8 business days from compliant request </w:t>
            </w:r>
          </w:p>
        </w:tc>
        <w:tc>
          <w:tcPr>
            <w:tcW w:w="1775" w:type="dxa"/>
          </w:tcPr>
          <w:p w14:paraId="71E65193" w14:textId="4C6D34F4" w:rsidR="002B31C4" w:rsidRDefault="00D32561" w:rsidP="009769EB">
            <w:r>
              <w:t xml:space="preserve">We continue engaging with the industry to </w:t>
            </w:r>
            <w:r w:rsidR="000668CB">
              <w:t>improve quality</w:t>
            </w:r>
          </w:p>
        </w:tc>
      </w:tr>
      <w:tr w:rsidR="006B35FD" w14:paraId="025B139D" w14:textId="77777777" w:rsidTr="009769EB">
        <w:trPr>
          <w:cnfStyle w:val="000000010000" w:firstRow="0" w:lastRow="0" w:firstColumn="0" w:lastColumn="0" w:oddVBand="0" w:evenVBand="0" w:oddHBand="0" w:evenHBand="1" w:firstRowFirstColumn="0" w:firstRowLastColumn="0" w:lastRowFirstColumn="0" w:lastRowLastColumn="0"/>
        </w:trPr>
        <w:tc>
          <w:tcPr>
            <w:tcW w:w="2052" w:type="dxa"/>
          </w:tcPr>
          <w:p w14:paraId="2BBFD48E" w14:textId="77777777" w:rsidR="003D25D4" w:rsidRPr="003D25D4" w:rsidRDefault="006B35FD" w:rsidP="003D25D4">
            <w:r>
              <w:t>Grant Practical Completion</w:t>
            </w:r>
            <w:r w:rsidR="003D25D4" w:rsidRPr="003D25D4">
              <w:t xml:space="preserve"> in less than 10 business days from request</w:t>
            </w:r>
          </w:p>
          <w:p w14:paraId="110FFD37" w14:textId="77777777" w:rsidR="006B35FD" w:rsidRDefault="006B35FD" w:rsidP="009769EB"/>
        </w:tc>
        <w:tc>
          <w:tcPr>
            <w:tcW w:w="2124" w:type="dxa"/>
          </w:tcPr>
          <w:p w14:paraId="7872D29E" w14:textId="6127407D" w:rsidR="006B35FD" w:rsidRDefault="00D32561" w:rsidP="009769EB">
            <w:r>
              <w:t>1Q2020</w:t>
            </w:r>
          </w:p>
        </w:tc>
        <w:tc>
          <w:tcPr>
            <w:tcW w:w="1742" w:type="dxa"/>
          </w:tcPr>
          <w:p w14:paraId="01713E50" w14:textId="4E2C2453" w:rsidR="006B35FD" w:rsidRPr="007B0A5A" w:rsidRDefault="000668CB" w:rsidP="009769EB">
            <w:r>
              <w:t>1.7</w:t>
            </w:r>
            <w:r w:rsidR="00C731B9" w:rsidRPr="007B0A5A">
              <w:t xml:space="preserve"> business days</w:t>
            </w:r>
          </w:p>
          <w:p w14:paraId="012D5DDD" w14:textId="775923B4" w:rsidR="007B0A5A" w:rsidRPr="009C4F0A" w:rsidRDefault="007B0A5A" w:rsidP="009769EB">
            <w:pPr>
              <w:rPr>
                <w:highlight w:val="yellow"/>
              </w:rPr>
            </w:pPr>
          </w:p>
        </w:tc>
        <w:tc>
          <w:tcPr>
            <w:tcW w:w="1945" w:type="dxa"/>
          </w:tcPr>
          <w:p w14:paraId="3769C587" w14:textId="77777777" w:rsidR="006B35FD" w:rsidRDefault="0029525D" w:rsidP="009769EB">
            <w:r>
              <w:rPr>
                <w:rFonts w:ascii="Arial"/>
              </w:rPr>
              <w:t>Grant practical completion in 10 business days or less</w:t>
            </w:r>
          </w:p>
        </w:tc>
        <w:tc>
          <w:tcPr>
            <w:tcW w:w="1775" w:type="dxa"/>
          </w:tcPr>
          <w:p w14:paraId="315B9333" w14:textId="77777777" w:rsidR="006B35FD" w:rsidRDefault="002B31C4" w:rsidP="009769EB">
            <w:r>
              <w:t xml:space="preserve">We have </w:t>
            </w:r>
            <w:r w:rsidRPr="002B31C4">
              <w:t>streamlined this process to be able to consistently outperform this target</w:t>
            </w:r>
          </w:p>
        </w:tc>
      </w:tr>
      <w:tr w:rsidR="006B35FD" w14:paraId="4B99887B" w14:textId="77777777" w:rsidTr="009769EB">
        <w:trPr>
          <w:cnfStyle w:val="000000100000" w:firstRow="0" w:lastRow="0" w:firstColumn="0" w:lastColumn="0" w:oddVBand="0" w:evenVBand="0" w:oddHBand="1" w:evenHBand="0" w:firstRowFirstColumn="0" w:firstRowLastColumn="0" w:lastRowFirstColumn="0" w:lastRowLastColumn="0"/>
        </w:trPr>
        <w:tc>
          <w:tcPr>
            <w:tcW w:w="2052" w:type="dxa"/>
          </w:tcPr>
          <w:p w14:paraId="2CCB7E78" w14:textId="77777777" w:rsidR="006B35FD" w:rsidRDefault="006B35FD" w:rsidP="009769EB">
            <w:r>
              <w:t>Construction ‘tie-in’</w:t>
            </w:r>
          </w:p>
          <w:p w14:paraId="5CF0C9D1" w14:textId="77777777" w:rsidR="003D25D4" w:rsidRPr="003D25D4" w:rsidRDefault="003D25D4" w:rsidP="003D25D4">
            <w:r w:rsidRPr="003D25D4">
              <w:t>Meet customer dates and implement new process to offer the option of a 20-</w:t>
            </w:r>
            <w:r w:rsidRPr="003D25D4">
              <w:lastRenderedPageBreak/>
              <w:t>business day construction tie in</w:t>
            </w:r>
          </w:p>
          <w:p w14:paraId="6B699379" w14:textId="77777777" w:rsidR="003D25D4" w:rsidRDefault="003D25D4" w:rsidP="009769EB"/>
        </w:tc>
        <w:tc>
          <w:tcPr>
            <w:tcW w:w="2124" w:type="dxa"/>
          </w:tcPr>
          <w:p w14:paraId="3FE9F23F" w14:textId="72BD7D40" w:rsidR="006B35FD" w:rsidRDefault="00D32561" w:rsidP="009769EB">
            <w:r>
              <w:lastRenderedPageBreak/>
              <w:t>1Q2020</w:t>
            </w:r>
          </w:p>
        </w:tc>
        <w:tc>
          <w:tcPr>
            <w:tcW w:w="1742" w:type="dxa"/>
          </w:tcPr>
          <w:p w14:paraId="1D464546" w14:textId="05BD7B7D" w:rsidR="006B35FD" w:rsidRDefault="0029525D" w:rsidP="009769EB">
            <w:r w:rsidRPr="007B0A5A">
              <w:t>4</w:t>
            </w:r>
            <w:r w:rsidR="00FE44A0">
              <w:t>1</w:t>
            </w:r>
            <w:r w:rsidR="009C4F0A" w:rsidRPr="007B0A5A">
              <w:t xml:space="preserve"> business days</w:t>
            </w:r>
          </w:p>
        </w:tc>
        <w:tc>
          <w:tcPr>
            <w:tcW w:w="1945" w:type="dxa"/>
          </w:tcPr>
          <w:p w14:paraId="54BF98F7" w14:textId="77777777" w:rsidR="006B35FD" w:rsidRDefault="0029525D" w:rsidP="009769EB">
            <w:r w:rsidRPr="0029525D">
              <w:rPr>
                <w:rFonts w:ascii="Arial"/>
              </w:rPr>
              <w:t xml:space="preserve">Meet customer dates and implement new process to offer the option of a 20-business day </w:t>
            </w:r>
            <w:r w:rsidRPr="0029525D">
              <w:rPr>
                <w:rFonts w:ascii="Arial"/>
              </w:rPr>
              <w:lastRenderedPageBreak/>
              <w:t>construction tie in</w:t>
            </w:r>
          </w:p>
        </w:tc>
        <w:tc>
          <w:tcPr>
            <w:tcW w:w="1775" w:type="dxa"/>
          </w:tcPr>
          <w:p w14:paraId="1F921F43" w14:textId="79556643" w:rsidR="00FE44A0" w:rsidRDefault="002B31C4" w:rsidP="00FE44A0">
            <w:pPr>
              <w:rPr>
                <w:rFonts w:ascii="Arial"/>
              </w:rPr>
            </w:pPr>
            <w:r>
              <w:rPr>
                <w:rFonts w:ascii="Arial"/>
              </w:rPr>
              <w:lastRenderedPageBreak/>
              <w:t xml:space="preserve">We have </w:t>
            </w:r>
            <w:r w:rsidR="00FE44A0">
              <w:rPr>
                <w:rFonts w:ascii="Arial"/>
              </w:rPr>
              <w:t>implemented the 20</w:t>
            </w:r>
            <w:r>
              <w:rPr>
                <w:rFonts w:ascii="Arial"/>
              </w:rPr>
              <w:t xml:space="preserve"> day tie in process for suitable projects. </w:t>
            </w:r>
            <w:r w:rsidR="000668CB">
              <w:rPr>
                <w:rFonts w:ascii="Arial"/>
              </w:rPr>
              <w:t xml:space="preserve">No </w:t>
            </w:r>
            <w:r w:rsidR="00BB63EA">
              <w:rPr>
                <w:rFonts w:ascii="Arial"/>
              </w:rPr>
              <w:lastRenderedPageBreak/>
              <w:t>projects have requested this facility</w:t>
            </w:r>
            <w:r w:rsidR="000668CB">
              <w:rPr>
                <w:rFonts w:ascii="Arial"/>
              </w:rPr>
              <w:t xml:space="preserve"> in 2020</w:t>
            </w:r>
          </w:p>
          <w:p w14:paraId="0C9E6E92" w14:textId="48D02408" w:rsidR="006B35FD" w:rsidRDefault="002B31C4" w:rsidP="000668CB">
            <w:r w:rsidRPr="002B31C4">
              <w:rPr>
                <w:rFonts w:ascii="Arial"/>
              </w:rPr>
              <w:t>We directly negotiate a tie in date with our customers – our focus is to deliver to these dates</w:t>
            </w:r>
            <w:r>
              <w:rPr>
                <w:rFonts w:ascii="Arial"/>
              </w:rPr>
              <w:t xml:space="preserve">. </w:t>
            </w:r>
            <w:r w:rsidR="00FE44A0">
              <w:rPr>
                <w:rFonts w:ascii="Arial"/>
              </w:rPr>
              <w:t>(9</w:t>
            </w:r>
            <w:r w:rsidR="000668CB">
              <w:rPr>
                <w:rFonts w:ascii="Arial"/>
              </w:rPr>
              <w:t>7</w:t>
            </w:r>
            <w:r w:rsidR="00FE44A0">
              <w:rPr>
                <w:rFonts w:ascii="Arial"/>
              </w:rPr>
              <w:t xml:space="preserve">% </w:t>
            </w:r>
            <w:r w:rsidR="000668CB">
              <w:rPr>
                <w:rFonts w:ascii="Arial"/>
              </w:rPr>
              <w:t>2020</w:t>
            </w:r>
            <w:r w:rsidR="00FE44A0">
              <w:rPr>
                <w:rFonts w:ascii="Arial"/>
              </w:rPr>
              <w:t>)</w:t>
            </w:r>
          </w:p>
        </w:tc>
      </w:tr>
    </w:tbl>
    <w:p w14:paraId="1F72F646" w14:textId="43C61665" w:rsidR="00DC75E6" w:rsidRPr="00DC75E6" w:rsidRDefault="00DC75E6" w:rsidP="00DC75E6"/>
    <w:p w14:paraId="08CE6F91" w14:textId="77777777" w:rsidR="00FA2895" w:rsidRDefault="00FA2895" w:rsidP="00FA2895"/>
    <w:p w14:paraId="03B531FA" w14:textId="77777777" w:rsidR="00766B62" w:rsidRDefault="004B338E" w:rsidP="00766B62">
      <w:pPr>
        <w:pStyle w:val="Heading1"/>
      </w:pPr>
      <w:r>
        <w:lastRenderedPageBreak/>
        <w:t xml:space="preserve">Appendix A: </w:t>
      </w:r>
      <w:r w:rsidR="007819F0">
        <w:t>S</w:t>
      </w:r>
      <w:r w:rsidR="00766B62">
        <w:t>ervice Improvement Commitment</w:t>
      </w:r>
    </w:p>
    <w:p w14:paraId="5CFE5164" w14:textId="77777777" w:rsidR="00766B62" w:rsidRDefault="00766B62" w:rsidP="00766B62">
      <w:r w:rsidRPr="001C5978">
        <w:t xml:space="preserve">The table below highlights </w:t>
      </w:r>
      <w:r>
        <w:t>the outcomes being sought</w:t>
      </w:r>
      <w:r w:rsidRPr="00615E32">
        <w:t xml:space="preserve">, and the </w:t>
      </w:r>
      <w:r>
        <w:t xml:space="preserve">nature </w:t>
      </w:r>
      <w:r w:rsidRPr="00615E32">
        <w:t xml:space="preserve">of commitments </w:t>
      </w:r>
      <w:r>
        <w:t xml:space="preserve">from the distribution businesses </w:t>
      </w:r>
      <w:r w:rsidRPr="00615E32">
        <w:t>to address each issue</w:t>
      </w:r>
      <w:r>
        <w:t xml:space="preserve"> in detail</w:t>
      </w:r>
      <w:r w:rsidRPr="00615E32">
        <w:t xml:space="preserve">. </w:t>
      </w:r>
      <w:r>
        <w:t xml:space="preserve">The </w:t>
      </w:r>
      <w:r w:rsidRPr="00710833">
        <w:t xml:space="preserve">commitments may vary across </w:t>
      </w:r>
      <w:r>
        <w:t xml:space="preserve">distribution </w:t>
      </w:r>
      <w:r w:rsidR="00781D9F">
        <w:t>businesses,</w:t>
      </w:r>
      <w:r w:rsidRPr="00710833">
        <w:t xml:space="preserve"> depending on measures and practices already in place. The commitment should address how and when the </w:t>
      </w:r>
      <w:r>
        <w:t>distribution business</w:t>
      </w:r>
      <w:r w:rsidRPr="00710833">
        <w:t xml:space="preserve"> will implement (or has already implemented) the proposed measures, and commit to regular reporting on progress to the </w:t>
      </w:r>
      <w:r>
        <w:t>Governance committee</w:t>
      </w:r>
      <w:r w:rsidRPr="00710833">
        <w:t>.</w:t>
      </w:r>
    </w:p>
    <w:p w14:paraId="07C3E0C4" w14:textId="77777777" w:rsidR="00766B62" w:rsidRDefault="00766B62" w:rsidP="00766B62">
      <w:pPr>
        <w:pStyle w:val="Figure-Table-BoxHeading"/>
        <w:numPr>
          <w:ilvl w:val="0"/>
          <w:numId w:val="0"/>
        </w:numPr>
      </w:pPr>
      <w:r>
        <w:t xml:space="preserve">Matters for inclusion in the service improvement commitment </w:t>
      </w:r>
    </w:p>
    <w:tbl>
      <w:tblPr>
        <w:tblStyle w:val="TableGrid"/>
        <w:tblW w:w="0" w:type="auto"/>
        <w:tblInd w:w="85" w:type="dxa"/>
        <w:tblLook w:val="04A0" w:firstRow="1" w:lastRow="0" w:firstColumn="1" w:lastColumn="0" w:noHBand="0" w:noVBand="1"/>
      </w:tblPr>
      <w:tblGrid>
        <w:gridCol w:w="3459"/>
        <w:gridCol w:w="6094"/>
      </w:tblGrid>
      <w:tr w:rsidR="00766B62" w14:paraId="71D1AB51" w14:textId="77777777" w:rsidTr="008E4467">
        <w:trPr>
          <w:cnfStyle w:val="100000000000" w:firstRow="1" w:lastRow="0" w:firstColumn="0" w:lastColumn="0" w:oddVBand="0" w:evenVBand="0" w:oddHBand="0" w:evenHBand="0" w:firstRowFirstColumn="0" w:firstRowLastColumn="0" w:lastRowFirstColumn="0" w:lastRowLastColumn="0"/>
          <w:tblHeader/>
        </w:trPr>
        <w:tc>
          <w:tcPr>
            <w:tcW w:w="3459" w:type="dxa"/>
            <w:vAlign w:val="bottom"/>
          </w:tcPr>
          <w:p w14:paraId="0929BBAE" w14:textId="77777777" w:rsidR="00766B62" w:rsidRDefault="00766B62" w:rsidP="008E4467">
            <w:pPr>
              <w:pStyle w:val="ListBullet"/>
              <w:numPr>
                <w:ilvl w:val="0"/>
                <w:numId w:val="0"/>
              </w:numPr>
            </w:pPr>
            <w:r>
              <w:t xml:space="preserve">Outcome sought </w:t>
            </w:r>
          </w:p>
        </w:tc>
        <w:tc>
          <w:tcPr>
            <w:tcW w:w="6094" w:type="dxa"/>
            <w:vAlign w:val="bottom"/>
          </w:tcPr>
          <w:p w14:paraId="4A292919" w14:textId="77777777" w:rsidR="00766B62" w:rsidRDefault="00766B62" w:rsidP="008E4467">
            <w:pPr>
              <w:pStyle w:val="ListBullet"/>
              <w:numPr>
                <w:ilvl w:val="0"/>
                <w:numId w:val="0"/>
              </w:numPr>
            </w:pPr>
            <w:r>
              <w:t>Commitment from distribution business</w:t>
            </w:r>
          </w:p>
        </w:tc>
      </w:tr>
      <w:tr w:rsidR="00766B62" w14:paraId="195D5659" w14:textId="77777777" w:rsidTr="008E4467">
        <w:trPr>
          <w:cnfStyle w:val="000000100000" w:firstRow="0" w:lastRow="0" w:firstColumn="0" w:lastColumn="0" w:oddVBand="0" w:evenVBand="0" w:oddHBand="1" w:evenHBand="0" w:firstRowFirstColumn="0" w:firstRowLastColumn="0" w:lastRowFirstColumn="0" w:lastRowLastColumn="0"/>
        </w:trPr>
        <w:tc>
          <w:tcPr>
            <w:tcW w:w="3459" w:type="dxa"/>
          </w:tcPr>
          <w:p w14:paraId="41DD4034" w14:textId="77777777" w:rsidR="00766B62" w:rsidRDefault="00766B62" w:rsidP="008E4467">
            <w:pPr>
              <w:pStyle w:val="TableBody"/>
              <w:spacing w:line="288" w:lineRule="auto"/>
            </w:pPr>
            <w:r>
              <w:t>1</w:t>
            </w:r>
            <w:r w:rsidRPr="0018726A">
              <w:t xml:space="preserve">. </w:t>
            </w:r>
            <w:r>
              <w:t>Improving d</w:t>
            </w:r>
            <w:r w:rsidRPr="0018726A">
              <w:t>evelopers and contractors understanding of the d</w:t>
            </w:r>
            <w:r>
              <w:t xml:space="preserve">istribution </w:t>
            </w:r>
            <w:r w:rsidRPr="0018726A">
              <w:t>b</w:t>
            </w:r>
            <w:r>
              <w:t>usiness’</w:t>
            </w:r>
            <w:r w:rsidRPr="0018726A">
              <w:t xml:space="preserve"> policies and practices, or how they can influence them</w:t>
            </w:r>
            <w:r>
              <w:t>.</w:t>
            </w:r>
          </w:p>
        </w:tc>
        <w:tc>
          <w:tcPr>
            <w:tcW w:w="6094" w:type="dxa"/>
          </w:tcPr>
          <w:p w14:paraId="4D83518D" w14:textId="77777777" w:rsidR="00766B62" w:rsidRDefault="00766B62" w:rsidP="008E4467">
            <w:pPr>
              <w:pStyle w:val="TableBody"/>
              <w:spacing w:line="288" w:lineRule="auto"/>
            </w:pPr>
            <w:r>
              <w:t>Each distribution business will improve communications and customer focus by:</w:t>
            </w:r>
          </w:p>
          <w:p w14:paraId="2DD7429C" w14:textId="77777777" w:rsidR="00766B62" w:rsidRDefault="00766B62" w:rsidP="008E4467">
            <w:pPr>
              <w:pStyle w:val="TableBullet"/>
            </w:pPr>
            <w:proofErr w:type="gramStart"/>
            <w:r>
              <w:t>ensuring</w:t>
            </w:r>
            <w:proofErr w:type="gramEnd"/>
            <w:r>
              <w:t xml:space="preserve"> website material is consistent with practices.</w:t>
            </w:r>
          </w:p>
          <w:p w14:paraId="7A9D02F2" w14:textId="77777777" w:rsidR="00766B62" w:rsidRDefault="00766B62" w:rsidP="008E4467">
            <w:pPr>
              <w:pStyle w:val="TableBullet"/>
            </w:pPr>
            <w:proofErr w:type="gramStart"/>
            <w:r>
              <w:t>clearly</w:t>
            </w:r>
            <w:proofErr w:type="gramEnd"/>
            <w:r>
              <w:t xml:space="preserve"> explaining each party’s roles and responsibilities under the regulatory framework.</w:t>
            </w:r>
          </w:p>
          <w:p w14:paraId="581CE42B" w14:textId="77777777" w:rsidR="00766B62" w:rsidRDefault="00766B62" w:rsidP="008E4467">
            <w:pPr>
              <w:pStyle w:val="TableBullet"/>
            </w:pPr>
            <w:proofErr w:type="gramStart"/>
            <w:r>
              <w:t>identifying</w:t>
            </w:r>
            <w:proofErr w:type="gramEnd"/>
            <w:r>
              <w:t xml:space="preserve"> opportunities for stakeholders to participate in relevant regulatory decisions. (For example, Australian Energy Regulator connection service classification decisions for distributors and distributor connection policies) </w:t>
            </w:r>
          </w:p>
          <w:p w14:paraId="6308601D" w14:textId="77777777" w:rsidR="00766B62" w:rsidRDefault="00766B62" w:rsidP="008E4467">
            <w:pPr>
              <w:pStyle w:val="TableBullet"/>
            </w:pPr>
            <w:proofErr w:type="gramStart"/>
            <w:r>
              <w:t>developing</w:t>
            </w:r>
            <w:proofErr w:type="gramEnd"/>
            <w:r>
              <w:t xml:space="preserve"> ways to communicate in a “two way” manner with developers about progress and reasons for delays in connecting new developments to the electricity supply.</w:t>
            </w:r>
          </w:p>
          <w:p w14:paraId="1548F86F" w14:textId="77777777" w:rsidR="00766B62" w:rsidRPr="000C14E8" w:rsidRDefault="00766B62" w:rsidP="008E4467">
            <w:pPr>
              <w:pStyle w:val="TableBody"/>
              <w:spacing w:before="160" w:line="288" w:lineRule="auto"/>
              <w:rPr>
                <w:b/>
              </w:rPr>
            </w:pPr>
            <w:r>
              <w:t xml:space="preserve">Establishing a consultative panel (committee) including developers to discuss and resolve matters related to electricity connections. This committee could be dissolved once confirmation is made that issues described above have been addressed. </w:t>
            </w:r>
          </w:p>
        </w:tc>
      </w:tr>
    </w:tbl>
    <w:p w14:paraId="571965C4" w14:textId="77777777" w:rsidR="00766B62" w:rsidRPr="00DE129D" w:rsidRDefault="00766B62" w:rsidP="00766B62">
      <w:pPr>
        <w:pStyle w:val="Source"/>
      </w:pPr>
      <w:r>
        <w:t>Continued next page</w:t>
      </w:r>
    </w:p>
    <w:p w14:paraId="61CDCEAD" w14:textId="77777777" w:rsidR="00766B62" w:rsidRDefault="00766B62" w:rsidP="00766B62"/>
    <w:p w14:paraId="6BB9E253" w14:textId="77777777" w:rsidR="00766B62" w:rsidRDefault="00766B62" w:rsidP="00766B62">
      <w:pPr>
        <w:spacing w:before="0" w:line="259" w:lineRule="auto"/>
        <w:rPr>
          <w:rFonts w:asciiTheme="majorHAnsi" w:eastAsiaTheme="majorEastAsia" w:hAnsiTheme="majorHAnsi" w:cstheme="majorBidi"/>
          <w:b/>
          <w:color w:val="4986A0" w:themeColor="text2"/>
          <w:szCs w:val="24"/>
          <w:lang w:val="en-US"/>
        </w:rPr>
      </w:pPr>
      <w:r>
        <w:br w:type="page"/>
      </w:r>
    </w:p>
    <w:p w14:paraId="75CCEAB8" w14:textId="77777777" w:rsidR="00766B62" w:rsidRDefault="00766B62" w:rsidP="00766B62">
      <w:pPr>
        <w:pStyle w:val="Figure-Table-BoxHeading"/>
        <w:numPr>
          <w:ilvl w:val="0"/>
          <w:numId w:val="0"/>
        </w:numPr>
      </w:pPr>
      <w:r>
        <w:lastRenderedPageBreak/>
        <w:t xml:space="preserve">Table continued </w:t>
      </w:r>
    </w:p>
    <w:tbl>
      <w:tblPr>
        <w:tblStyle w:val="TableGrid"/>
        <w:tblW w:w="0" w:type="auto"/>
        <w:tblInd w:w="85" w:type="dxa"/>
        <w:tblLook w:val="04A0" w:firstRow="1" w:lastRow="0" w:firstColumn="1" w:lastColumn="0" w:noHBand="0" w:noVBand="1"/>
      </w:tblPr>
      <w:tblGrid>
        <w:gridCol w:w="3459"/>
        <w:gridCol w:w="6094"/>
      </w:tblGrid>
      <w:tr w:rsidR="00766B62" w14:paraId="38CB6866" w14:textId="77777777" w:rsidTr="008E4467">
        <w:trPr>
          <w:cnfStyle w:val="100000000000" w:firstRow="1" w:lastRow="0" w:firstColumn="0" w:lastColumn="0" w:oddVBand="0" w:evenVBand="0" w:oddHBand="0" w:evenHBand="0" w:firstRowFirstColumn="0" w:firstRowLastColumn="0" w:lastRowFirstColumn="0" w:lastRowLastColumn="0"/>
          <w:tblHeader/>
        </w:trPr>
        <w:tc>
          <w:tcPr>
            <w:tcW w:w="3459" w:type="dxa"/>
          </w:tcPr>
          <w:p w14:paraId="08F6998C" w14:textId="77777777" w:rsidR="00766B62" w:rsidRDefault="00766B62" w:rsidP="008E4467">
            <w:pPr>
              <w:pStyle w:val="ListBullet"/>
              <w:numPr>
                <w:ilvl w:val="0"/>
                <w:numId w:val="0"/>
              </w:numPr>
            </w:pPr>
            <w:r>
              <w:t xml:space="preserve">Outcome sought </w:t>
            </w:r>
          </w:p>
        </w:tc>
        <w:tc>
          <w:tcPr>
            <w:tcW w:w="6094" w:type="dxa"/>
          </w:tcPr>
          <w:p w14:paraId="33CABE99" w14:textId="77777777" w:rsidR="00766B62" w:rsidRDefault="00766B62" w:rsidP="008E4467">
            <w:pPr>
              <w:pStyle w:val="ListBullet"/>
              <w:numPr>
                <w:ilvl w:val="0"/>
                <w:numId w:val="0"/>
              </w:numPr>
            </w:pPr>
            <w:r>
              <w:t>Commitment from distribution business</w:t>
            </w:r>
          </w:p>
        </w:tc>
      </w:tr>
      <w:tr w:rsidR="00766B62" w14:paraId="465A5381" w14:textId="77777777" w:rsidTr="008E4467">
        <w:trPr>
          <w:cnfStyle w:val="000000100000" w:firstRow="0" w:lastRow="0" w:firstColumn="0" w:lastColumn="0" w:oddVBand="0" w:evenVBand="0" w:oddHBand="1" w:evenHBand="0" w:firstRowFirstColumn="0" w:firstRowLastColumn="0" w:lastRowFirstColumn="0" w:lastRowLastColumn="0"/>
        </w:trPr>
        <w:tc>
          <w:tcPr>
            <w:tcW w:w="3459" w:type="dxa"/>
          </w:tcPr>
          <w:p w14:paraId="1F555051" w14:textId="77777777" w:rsidR="00766B62" w:rsidRDefault="00766B62" w:rsidP="008E4467">
            <w:pPr>
              <w:pStyle w:val="TableBody"/>
              <w:spacing w:line="288" w:lineRule="auto"/>
            </w:pPr>
            <w:r>
              <w:t xml:space="preserve">2. </w:t>
            </w:r>
            <w:proofErr w:type="spellStart"/>
            <w:r>
              <w:t>Minimising</w:t>
            </w:r>
            <w:proofErr w:type="spellEnd"/>
            <w:r>
              <w:t xml:space="preserve"> avoidable delays in connecting greenfield developments to existing distribution networks.</w:t>
            </w:r>
          </w:p>
          <w:p w14:paraId="6A03EEDB" w14:textId="77777777" w:rsidR="00766B62" w:rsidRDefault="00766B62" w:rsidP="008E4467">
            <w:pPr>
              <w:pStyle w:val="TableBody"/>
              <w:spacing w:line="288" w:lineRule="auto"/>
            </w:pPr>
            <w:r>
              <w:t>Related to this:</w:t>
            </w:r>
          </w:p>
          <w:p w14:paraId="5AE2503A" w14:textId="77777777" w:rsidR="00766B62" w:rsidRDefault="00766B62" w:rsidP="008E4467">
            <w:pPr>
              <w:pStyle w:val="TableBullet"/>
            </w:pPr>
            <w:r>
              <w:t>making the processes and reasons for delays transparent</w:t>
            </w:r>
          </w:p>
          <w:p w14:paraId="43FCC37A" w14:textId="77777777" w:rsidR="00766B62" w:rsidRDefault="00766B62" w:rsidP="008E4467">
            <w:pPr>
              <w:pStyle w:val="TableBullet"/>
            </w:pPr>
            <w:r>
              <w:t>establishing a clear process for developers to raise persistent complaints, or for addressing them</w:t>
            </w:r>
          </w:p>
          <w:p w14:paraId="0A6959E7" w14:textId="77777777" w:rsidR="00766B62" w:rsidRDefault="00766B62" w:rsidP="008E4467">
            <w:pPr>
              <w:pStyle w:val="ListBullet"/>
              <w:numPr>
                <w:ilvl w:val="0"/>
                <w:numId w:val="0"/>
              </w:numPr>
              <w:ind w:left="284" w:hanging="284"/>
            </w:pPr>
            <w:r>
              <w:t xml:space="preserve"> </w:t>
            </w:r>
          </w:p>
        </w:tc>
        <w:tc>
          <w:tcPr>
            <w:tcW w:w="6094" w:type="dxa"/>
          </w:tcPr>
          <w:p w14:paraId="12FE5C79" w14:textId="77777777" w:rsidR="00766B62" w:rsidRDefault="00766B62" w:rsidP="008E4467">
            <w:pPr>
              <w:pStyle w:val="TableBody"/>
              <w:spacing w:line="288" w:lineRule="auto"/>
            </w:pPr>
            <w:r w:rsidRPr="00903BC9">
              <w:t xml:space="preserve">Each distribution business will draw on existing processes, and any improvement initiatives already underway, and </w:t>
            </w:r>
            <w:r>
              <w:t xml:space="preserve">results of </w:t>
            </w:r>
            <w:r w:rsidRPr="00903BC9">
              <w:t>stakeholder engagement to undertake the following measures</w:t>
            </w:r>
            <w:r>
              <w:t xml:space="preserve">:  </w:t>
            </w:r>
          </w:p>
          <w:p w14:paraId="0C5DAB69" w14:textId="77777777" w:rsidR="00766B62" w:rsidRDefault="00766B62" w:rsidP="008E4467">
            <w:pPr>
              <w:pStyle w:val="TableBullet"/>
            </w:pPr>
            <w:r>
              <w:t>setting target timeframes for specified stages of the negotiated connection process</w:t>
            </w:r>
          </w:p>
          <w:p w14:paraId="1B08B3E5" w14:textId="77777777" w:rsidR="00766B62" w:rsidRDefault="00766B62" w:rsidP="008E4467">
            <w:pPr>
              <w:pStyle w:val="TableBullet"/>
            </w:pPr>
            <w:proofErr w:type="gramStart"/>
            <w:r>
              <w:t>developing</w:t>
            </w:r>
            <w:proofErr w:type="gramEnd"/>
            <w:r>
              <w:t xml:space="preserve"> meaningful KPIs for each timeframe target. For example 95% of a defined action to be completed within the target timeframe.</w:t>
            </w:r>
          </w:p>
          <w:p w14:paraId="0CAA6FBC" w14:textId="77777777" w:rsidR="00766B62" w:rsidRDefault="00766B62" w:rsidP="008E4467">
            <w:pPr>
              <w:pStyle w:val="TableBody"/>
              <w:spacing w:before="160" w:line="288" w:lineRule="auto"/>
            </w:pPr>
            <w:r>
              <w:t>Publishing a regular performance report setting out:</w:t>
            </w:r>
          </w:p>
          <w:p w14:paraId="1F48B4A9" w14:textId="77777777" w:rsidR="00766B62" w:rsidRDefault="00766B62" w:rsidP="008E4467">
            <w:pPr>
              <w:pStyle w:val="TableBullet"/>
            </w:pPr>
            <w:r>
              <w:t>performance against the KPI</w:t>
            </w:r>
          </w:p>
          <w:p w14:paraId="5C63DEF2" w14:textId="77777777" w:rsidR="00766B62" w:rsidRDefault="00766B62" w:rsidP="008E4467">
            <w:pPr>
              <w:pStyle w:val="TableBullet"/>
            </w:pPr>
            <w:proofErr w:type="gramStart"/>
            <w:r>
              <w:t>commentary</w:t>
            </w:r>
            <w:proofErr w:type="gramEnd"/>
            <w:r>
              <w:t xml:space="preserve"> on reasons if the KPIs are not met, and any corrective actions necessary.</w:t>
            </w:r>
          </w:p>
          <w:p w14:paraId="646E4F0E" w14:textId="77777777" w:rsidR="00766B62" w:rsidRDefault="00766B62" w:rsidP="008E4467">
            <w:pPr>
              <w:pStyle w:val="TableBody"/>
              <w:spacing w:before="160" w:line="288" w:lineRule="auto"/>
            </w:pPr>
            <w:r>
              <w:t>The performance report will also include matters related to audit performance described under item 4.</w:t>
            </w:r>
          </w:p>
          <w:p w14:paraId="420F2347" w14:textId="77777777" w:rsidR="00766B62" w:rsidRDefault="00766B62" w:rsidP="008E4467">
            <w:pPr>
              <w:pStyle w:val="TableBody"/>
              <w:spacing w:before="160" w:line="288" w:lineRule="auto"/>
            </w:pPr>
            <w:r>
              <w:t>Presenting performance reports to stakeholders and engaging with them to identify areas of change or for improvement.</w:t>
            </w:r>
          </w:p>
          <w:p w14:paraId="5FC80736" w14:textId="77777777" w:rsidR="00766B62" w:rsidRDefault="00766B62" w:rsidP="008E4467">
            <w:pPr>
              <w:pStyle w:val="TableBody"/>
              <w:spacing w:before="160" w:line="288" w:lineRule="auto"/>
            </w:pPr>
            <w:r>
              <w:t>Performance reports should be prepared every six months.</w:t>
            </w:r>
          </w:p>
          <w:p w14:paraId="1E128158" w14:textId="77777777" w:rsidR="00766B62" w:rsidRDefault="00766B62" w:rsidP="008E4467">
            <w:pPr>
              <w:pStyle w:val="TableBody"/>
              <w:spacing w:before="160" w:line="288" w:lineRule="auto"/>
            </w:pPr>
            <w:r>
              <w:t>Establishing an ongoing review cycle for updating targets and KPIs.</w:t>
            </w:r>
          </w:p>
          <w:p w14:paraId="43B044A0" w14:textId="77777777" w:rsidR="00766B62" w:rsidRDefault="00766B62" w:rsidP="008E4467">
            <w:pPr>
              <w:pStyle w:val="TableBody"/>
              <w:spacing w:before="160" w:line="288" w:lineRule="auto"/>
            </w:pPr>
            <w:r>
              <w:t xml:space="preserve">Exploring the development of a service level agreement (SLA). </w:t>
            </w:r>
          </w:p>
          <w:p w14:paraId="0349D441" w14:textId="77777777" w:rsidR="00766B62" w:rsidRDefault="00766B62" w:rsidP="008E4467">
            <w:pPr>
              <w:pStyle w:val="TableBullet"/>
            </w:pPr>
            <w:r>
              <w:t xml:space="preserve">The SLA should be developed in consultation with stakeholders. </w:t>
            </w:r>
          </w:p>
          <w:p w14:paraId="072977CF" w14:textId="77777777" w:rsidR="00766B62" w:rsidRDefault="00766B62" w:rsidP="008E4467">
            <w:pPr>
              <w:pStyle w:val="TableBullet"/>
            </w:pPr>
            <w:r>
              <w:t>The SLA should be referenced or incorporated in Victorian distributors’ connection policies as part of the 2021-25 network price determinations.</w:t>
            </w:r>
          </w:p>
          <w:p w14:paraId="100C5B58" w14:textId="77777777" w:rsidR="00766B62" w:rsidRDefault="00766B62" w:rsidP="008E4467">
            <w:pPr>
              <w:pStyle w:val="ListBullet"/>
              <w:numPr>
                <w:ilvl w:val="0"/>
                <w:numId w:val="0"/>
              </w:numPr>
            </w:pPr>
            <w:r>
              <w:t xml:space="preserve"> </w:t>
            </w:r>
          </w:p>
        </w:tc>
      </w:tr>
    </w:tbl>
    <w:p w14:paraId="2236AD6C" w14:textId="77777777" w:rsidR="00766B62" w:rsidRPr="00DE129D" w:rsidRDefault="00766B62" w:rsidP="00766B62">
      <w:pPr>
        <w:pStyle w:val="Source"/>
      </w:pPr>
      <w:r>
        <w:t>Continued next page</w:t>
      </w:r>
    </w:p>
    <w:p w14:paraId="23DE523C" w14:textId="77777777" w:rsidR="00766B62" w:rsidRDefault="00766B62" w:rsidP="00766B62">
      <w:pPr>
        <w:spacing w:before="0" w:line="259" w:lineRule="auto"/>
        <w:rPr>
          <w:rFonts w:asciiTheme="majorHAnsi" w:eastAsiaTheme="majorEastAsia" w:hAnsiTheme="majorHAnsi" w:cstheme="majorBidi"/>
          <w:b/>
          <w:color w:val="4986A0" w:themeColor="text2"/>
          <w:szCs w:val="24"/>
          <w:lang w:val="en-US"/>
        </w:rPr>
      </w:pPr>
      <w:r>
        <w:br w:type="page"/>
      </w:r>
    </w:p>
    <w:p w14:paraId="59005AFC" w14:textId="77777777" w:rsidR="00766B62" w:rsidRDefault="00766B62" w:rsidP="00766B62">
      <w:pPr>
        <w:pStyle w:val="Figure-Table-BoxHeading"/>
        <w:numPr>
          <w:ilvl w:val="0"/>
          <w:numId w:val="0"/>
        </w:numPr>
      </w:pPr>
      <w:r>
        <w:lastRenderedPageBreak/>
        <w:t xml:space="preserve">Table continued </w:t>
      </w:r>
    </w:p>
    <w:tbl>
      <w:tblPr>
        <w:tblStyle w:val="TableGrid"/>
        <w:tblW w:w="0" w:type="auto"/>
        <w:tblInd w:w="85" w:type="dxa"/>
        <w:tblLook w:val="04A0" w:firstRow="1" w:lastRow="0" w:firstColumn="1" w:lastColumn="0" w:noHBand="0" w:noVBand="1"/>
      </w:tblPr>
      <w:tblGrid>
        <w:gridCol w:w="3459"/>
        <w:gridCol w:w="6094"/>
      </w:tblGrid>
      <w:tr w:rsidR="00766B62" w14:paraId="7C4AF174" w14:textId="77777777" w:rsidTr="008E4467">
        <w:trPr>
          <w:cnfStyle w:val="100000000000" w:firstRow="1" w:lastRow="0" w:firstColumn="0" w:lastColumn="0" w:oddVBand="0" w:evenVBand="0" w:oddHBand="0" w:evenHBand="0" w:firstRowFirstColumn="0" w:firstRowLastColumn="0" w:lastRowFirstColumn="0" w:lastRowLastColumn="0"/>
          <w:tblHeader/>
        </w:trPr>
        <w:tc>
          <w:tcPr>
            <w:tcW w:w="3459" w:type="dxa"/>
          </w:tcPr>
          <w:p w14:paraId="66BB851F" w14:textId="77777777" w:rsidR="00766B62" w:rsidRDefault="00766B62" w:rsidP="008E4467">
            <w:pPr>
              <w:pStyle w:val="ListBullet"/>
              <w:numPr>
                <w:ilvl w:val="0"/>
                <w:numId w:val="0"/>
              </w:numPr>
            </w:pPr>
            <w:r>
              <w:t xml:space="preserve">Outcome sought </w:t>
            </w:r>
          </w:p>
        </w:tc>
        <w:tc>
          <w:tcPr>
            <w:tcW w:w="6094" w:type="dxa"/>
          </w:tcPr>
          <w:p w14:paraId="5D861B9B" w14:textId="77777777" w:rsidR="00766B62" w:rsidRDefault="00766B62" w:rsidP="008E4467">
            <w:pPr>
              <w:pStyle w:val="ListBullet"/>
              <w:numPr>
                <w:ilvl w:val="0"/>
                <w:numId w:val="0"/>
              </w:numPr>
            </w:pPr>
            <w:r>
              <w:t>Commitment from distribution business</w:t>
            </w:r>
          </w:p>
        </w:tc>
      </w:tr>
      <w:tr w:rsidR="00766B62" w14:paraId="58B188F4" w14:textId="77777777" w:rsidTr="008E4467">
        <w:trPr>
          <w:cnfStyle w:val="000000100000" w:firstRow="0" w:lastRow="0" w:firstColumn="0" w:lastColumn="0" w:oddVBand="0" w:evenVBand="0" w:oddHBand="1" w:evenHBand="0" w:firstRowFirstColumn="0" w:firstRowLastColumn="0" w:lastRowFirstColumn="0" w:lastRowLastColumn="0"/>
        </w:trPr>
        <w:tc>
          <w:tcPr>
            <w:tcW w:w="3459" w:type="dxa"/>
          </w:tcPr>
          <w:p w14:paraId="3D462FE6" w14:textId="77777777" w:rsidR="00766B62" w:rsidRDefault="00766B62" w:rsidP="008E4467">
            <w:pPr>
              <w:pStyle w:val="TableBody"/>
              <w:spacing w:line="288" w:lineRule="auto"/>
            </w:pPr>
            <w:r>
              <w:t xml:space="preserve">2. </w:t>
            </w:r>
            <w:proofErr w:type="spellStart"/>
            <w:r>
              <w:t>Minimising</w:t>
            </w:r>
            <w:proofErr w:type="spellEnd"/>
            <w:r>
              <w:t xml:space="preserve"> avoidable delays in connecting greenfield developments to existing distribution networks (continued).</w:t>
            </w:r>
          </w:p>
          <w:p w14:paraId="52E56223" w14:textId="77777777" w:rsidR="00766B62" w:rsidRDefault="00766B62" w:rsidP="008E4467">
            <w:pPr>
              <w:pStyle w:val="ListBullet"/>
              <w:numPr>
                <w:ilvl w:val="0"/>
                <w:numId w:val="0"/>
              </w:numPr>
              <w:ind w:left="284" w:hanging="284"/>
            </w:pPr>
          </w:p>
        </w:tc>
        <w:tc>
          <w:tcPr>
            <w:tcW w:w="6094" w:type="dxa"/>
          </w:tcPr>
          <w:p w14:paraId="2CE42625" w14:textId="77777777" w:rsidR="00766B62" w:rsidRDefault="00766B62" w:rsidP="008E4467">
            <w:pPr>
              <w:pStyle w:val="TableBody"/>
              <w:spacing w:line="288" w:lineRule="auto"/>
            </w:pPr>
            <w:r>
              <w:t>Publishing the steps to escalate a complaint in relation to new connections on the distribution business’s website. This will include placing a</w:t>
            </w:r>
            <w:r w:rsidRPr="00E9633E">
              <w:t xml:space="preserve"> link on the distributor’s website to a complaints register to be established by the Commission. The register will log complaints raised by stakeholders in relation to the connections process.</w:t>
            </w:r>
            <w:r>
              <w:t xml:space="preserve"> </w:t>
            </w:r>
          </w:p>
        </w:tc>
      </w:tr>
      <w:tr w:rsidR="00766B62" w14:paraId="6B3E4672" w14:textId="77777777" w:rsidTr="008E4467">
        <w:trPr>
          <w:cnfStyle w:val="000000010000" w:firstRow="0" w:lastRow="0" w:firstColumn="0" w:lastColumn="0" w:oddVBand="0" w:evenVBand="0" w:oddHBand="0" w:evenHBand="1" w:firstRowFirstColumn="0" w:firstRowLastColumn="0" w:lastRowFirstColumn="0" w:lastRowLastColumn="0"/>
        </w:trPr>
        <w:tc>
          <w:tcPr>
            <w:tcW w:w="3459" w:type="dxa"/>
          </w:tcPr>
          <w:p w14:paraId="2F1CF474" w14:textId="77777777" w:rsidR="00766B62" w:rsidRDefault="00766B62" w:rsidP="008E4467">
            <w:pPr>
              <w:pStyle w:val="TableBody"/>
              <w:spacing w:line="288" w:lineRule="auto"/>
            </w:pPr>
            <w:r>
              <w:t>3. Improving how technical standards are managed and communicated. Including:</w:t>
            </w:r>
          </w:p>
          <w:p w14:paraId="49B9A466" w14:textId="77777777" w:rsidR="00766B62" w:rsidRDefault="00766B62" w:rsidP="008E4467">
            <w:pPr>
              <w:pStyle w:val="TableBullet"/>
            </w:pPr>
            <w:proofErr w:type="gramStart"/>
            <w:r>
              <w:t>making</w:t>
            </w:r>
            <w:proofErr w:type="gramEnd"/>
            <w:r>
              <w:t xml:space="preserve"> standards across distributors consistent allowing for justifiable differences.</w:t>
            </w:r>
          </w:p>
          <w:p w14:paraId="1D150A1D" w14:textId="77777777" w:rsidR="00766B62" w:rsidRDefault="00766B62" w:rsidP="008E4467">
            <w:pPr>
              <w:pStyle w:val="TableBullet"/>
            </w:pPr>
            <w:r>
              <w:t>ensuring consistent interpretation of standards by different distribution businesses and auditors</w:t>
            </w:r>
          </w:p>
          <w:p w14:paraId="3487994F" w14:textId="77777777" w:rsidR="00766B62" w:rsidRDefault="00766B62" w:rsidP="008E4467">
            <w:pPr>
              <w:pStyle w:val="TableBullet"/>
            </w:pPr>
            <w:r>
              <w:t>improving certainty and transparency about which standards are applicable</w:t>
            </w:r>
          </w:p>
          <w:p w14:paraId="463B9B92" w14:textId="77777777" w:rsidR="00766B62" w:rsidRDefault="00766B62" w:rsidP="008E4467">
            <w:pPr>
              <w:pStyle w:val="TableBullet"/>
            </w:pPr>
            <w:proofErr w:type="gramStart"/>
            <w:r>
              <w:t>ensuring</w:t>
            </w:r>
            <w:proofErr w:type="gramEnd"/>
            <w:r>
              <w:t xml:space="preserve"> timely consultation about changes to standards or their implementation.</w:t>
            </w:r>
          </w:p>
          <w:p w14:paraId="07547A01" w14:textId="77777777" w:rsidR="00766B62" w:rsidRDefault="00766B62" w:rsidP="008E4467">
            <w:pPr>
              <w:pStyle w:val="ListBullet"/>
              <w:numPr>
                <w:ilvl w:val="0"/>
                <w:numId w:val="0"/>
              </w:numPr>
            </w:pPr>
          </w:p>
        </w:tc>
        <w:tc>
          <w:tcPr>
            <w:tcW w:w="6094" w:type="dxa"/>
          </w:tcPr>
          <w:p w14:paraId="799EA252" w14:textId="77777777" w:rsidR="00766B62" w:rsidRDefault="00766B62" w:rsidP="008E4467">
            <w:pPr>
              <w:pStyle w:val="TableBody"/>
              <w:spacing w:line="288" w:lineRule="auto"/>
            </w:pPr>
            <w:r>
              <w:t xml:space="preserve">The distribution businesses will lead the development of a new </w:t>
            </w:r>
            <w:r w:rsidRPr="00E9633E">
              <w:t>Technical</w:t>
            </w:r>
            <w:r>
              <w:rPr>
                <w:b/>
              </w:rPr>
              <w:t xml:space="preserve"> </w:t>
            </w:r>
            <w:r>
              <w:t xml:space="preserve">Standards Committee whose indicative membership will include: the distribution businesses, developers, councils, electrical designers, civil constructors, electrical cable installers, Energy Safe Victoria and the Victorian Planning Authority. </w:t>
            </w:r>
          </w:p>
          <w:p w14:paraId="02C06626" w14:textId="77777777" w:rsidR="00766B62" w:rsidRDefault="00766B62" w:rsidP="008E4467">
            <w:pPr>
              <w:pStyle w:val="TableBody"/>
            </w:pPr>
            <w:r w:rsidRPr="00997C42">
              <w:t>Technical</w:t>
            </w:r>
            <w:r>
              <w:rPr>
                <w:b/>
              </w:rPr>
              <w:t xml:space="preserve"> </w:t>
            </w:r>
            <w:r>
              <w:t>Standards Committee will be responsible for (but not limited to):</w:t>
            </w:r>
          </w:p>
          <w:p w14:paraId="27DEDFDB" w14:textId="77777777" w:rsidR="00766B62" w:rsidRDefault="00766B62" w:rsidP="008E4467">
            <w:pPr>
              <w:pStyle w:val="TableBullet"/>
            </w:pPr>
            <w:r>
              <w:t>harmonising standards where possible</w:t>
            </w:r>
          </w:p>
          <w:p w14:paraId="71F94E76" w14:textId="77777777" w:rsidR="00766B62" w:rsidRDefault="00766B62" w:rsidP="008E4467">
            <w:pPr>
              <w:pStyle w:val="TableBullet"/>
            </w:pPr>
            <w:r>
              <w:t>providing a forum for raising issues and sharing information</w:t>
            </w:r>
          </w:p>
          <w:p w14:paraId="464061F2" w14:textId="77777777" w:rsidR="00766B62" w:rsidRDefault="00766B62" w:rsidP="008E4467">
            <w:pPr>
              <w:pStyle w:val="TableBullet"/>
            </w:pPr>
            <w:proofErr w:type="gramStart"/>
            <w:r>
              <w:t>issuing</w:t>
            </w:r>
            <w:proofErr w:type="gramEnd"/>
            <w:r>
              <w:t xml:space="preserve"> practice/policy guidance notes establishing principles to follow, identifying best practice or suggesting actions.</w:t>
            </w:r>
          </w:p>
          <w:p w14:paraId="5542BD9E" w14:textId="77777777" w:rsidR="00766B62" w:rsidRDefault="00766B62" w:rsidP="008E4467">
            <w:pPr>
              <w:pStyle w:val="TableBody"/>
              <w:spacing w:before="160" w:line="288" w:lineRule="auto"/>
            </w:pPr>
            <w:r>
              <w:t xml:space="preserve">The Standards Committee will draw on practical experiences (including insights from the Victorian Planning Authority, and Commission reviews) to </w:t>
            </w:r>
            <w:proofErr w:type="spellStart"/>
            <w:r>
              <w:t>prioritise</w:t>
            </w:r>
            <w:proofErr w:type="spellEnd"/>
            <w:r>
              <w:t xml:space="preserve"> its work.</w:t>
            </w:r>
          </w:p>
          <w:p w14:paraId="076DE601" w14:textId="77777777" w:rsidR="00766B62" w:rsidRDefault="00766B62" w:rsidP="008E4467">
            <w:pPr>
              <w:pStyle w:val="TableBody"/>
              <w:spacing w:before="160" w:line="288" w:lineRule="auto"/>
            </w:pPr>
            <w:r>
              <w:t>The Standards Committee will invite the Commission to attend committee meetings as an observer.</w:t>
            </w:r>
          </w:p>
          <w:p w14:paraId="0311BAD6" w14:textId="77777777" w:rsidR="00766B62" w:rsidRPr="00E832AF" w:rsidRDefault="00766B62" w:rsidP="008E4467">
            <w:pPr>
              <w:pStyle w:val="TableBody"/>
              <w:spacing w:before="160" w:line="288" w:lineRule="auto"/>
            </w:pPr>
            <w:r>
              <w:t xml:space="preserve">The Standard Committee may choose to base its structure and governance arrangements on an </w:t>
            </w:r>
            <w:proofErr w:type="spellStart"/>
            <w:r>
              <w:t>organisation</w:t>
            </w:r>
            <w:proofErr w:type="spellEnd"/>
            <w:r>
              <w:t xml:space="preserve"> like the </w:t>
            </w:r>
            <w:r w:rsidRPr="00E9633E">
              <w:t xml:space="preserve">Melbourne Retail Water </w:t>
            </w:r>
            <w:r>
              <w:t>Agencies</w:t>
            </w:r>
          </w:p>
        </w:tc>
      </w:tr>
    </w:tbl>
    <w:p w14:paraId="2D9B79A3" w14:textId="77777777" w:rsidR="00766B62" w:rsidRPr="00DE129D" w:rsidRDefault="00766B62" w:rsidP="00766B62">
      <w:pPr>
        <w:pStyle w:val="Source"/>
      </w:pPr>
      <w:r>
        <w:t>Continued next page</w:t>
      </w:r>
    </w:p>
    <w:p w14:paraId="5043CB0F" w14:textId="77777777" w:rsidR="00766B62" w:rsidRDefault="00766B62" w:rsidP="00766B62">
      <w:pPr>
        <w:spacing w:before="0" w:line="259" w:lineRule="auto"/>
        <w:rPr>
          <w:rFonts w:asciiTheme="majorHAnsi" w:eastAsiaTheme="majorEastAsia" w:hAnsiTheme="majorHAnsi" w:cstheme="majorBidi"/>
          <w:b/>
          <w:color w:val="4986A0" w:themeColor="text2"/>
          <w:szCs w:val="24"/>
          <w:lang w:val="en-US"/>
        </w:rPr>
      </w:pPr>
      <w:r>
        <w:br w:type="page"/>
      </w:r>
    </w:p>
    <w:p w14:paraId="067F3177" w14:textId="77777777" w:rsidR="00766B62" w:rsidRDefault="00766B62" w:rsidP="00766B62">
      <w:pPr>
        <w:pStyle w:val="Figure-Table-BoxHeading"/>
        <w:numPr>
          <w:ilvl w:val="0"/>
          <w:numId w:val="0"/>
        </w:numPr>
      </w:pPr>
      <w:r>
        <w:lastRenderedPageBreak/>
        <w:t xml:space="preserve">Table continued </w:t>
      </w:r>
    </w:p>
    <w:tbl>
      <w:tblPr>
        <w:tblStyle w:val="TableGrid"/>
        <w:tblW w:w="0" w:type="auto"/>
        <w:tblInd w:w="85" w:type="dxa"/>
        <w:tblLook w:val="04A0" w:firstRow="1" w:lastRow="0" w:firstColumn="1" w:lastColumn="0" w:noHBand="0" w:noVBand="1"/>
      </w:tblPr>
      <w:tblGrid>
        <w:gridCol w:w="3459"/>
        <w:gridCol w:w="6094"/>
      </w:tblGrid>
      <w:tr w:rsidR="00766B62" w14:paraId="2613D3D7" w14:textId="77777777" w:rsidTr="008E4467">
        <w:trPr>
          <w:cnfStyle w:val="100000000000" w:firstRow="1" w:lastRow="0" w:firstColumn="0" w:lastColumn="0" w:oddVBand="0" w:evenVBand="0" w:oddHBand="0" w:evenHBand="0" w:firstRowFirstColumn="0" w:firstRowLastColumn="0" w:lastRowFirstColumn="0" w:lastRowLastColumn="0"/>
          <w:tblHeader/>
        </w:trPr>
        <w:tc>
          <w:tcPr>
            <w:tcW w:w="3459" w:type="dxa"/>
          </w:tcPr>
          <w:p w14:paraId="0DFE38FD" w14:textId="77777777" w:rsidR="00766B62" w:rsidRDefault="00766B62" w:rsidP="008E4467">
            <w:pPr>
              <w:pStyle w:val="ListBullet"/>
              <w:numPr>
                <w:ilvl w:val="0"/>
                <w:numId w:val="0"/>
              </w:numPr>
            </w:pPr>
            <w:r>
              <w:t xml:space="preserve">Outcome sought </w:t>
            </w:r>
          </w:p>
        </w:tc>
        <w:tc>
          <w:tcPr>
            <w:tcW w:w="6094" w:type="dxa"/>
          </w:tcPr>
          <w:p w14:paraId="678A80C2" w14:textId="77777777" w:rsidR="00766B62" w:rsidRDefault="00766B62" w:rsidP="008E4467">
            <w:pPr>
              <w:pStyle w:val="ListBullet"/>
              <w:numPr>
                <w:ilvl w:val="0"/>
                <w:numId w:val="0"/>
              </w:numPr>
            </w:pPr>
            <w:r>
              <w:t>Commitment from distribution business</w:t>
            </w:r>
          </w:p>
        </w:tc>
      </w:tr>
      <w:tr w:rsidR="00766B62" w14:paraId="519BADA2" w14:textId="77777777" w:rsidTr="008E4467">
        <w:trPr>
          <w:cnfStyle w:val="000000100000" w:firstRow="0" w:lastRow="0" w:firstColumn="0" w:lastColumn="0" w:oddVBand="0" w:evenVBand="0" w:oddHBand="1" w:evenHBand="0" w:firstRowFirstColumn="0" w:firstRowLastColumn="0" w:lastRowFirstColumn="0" w:lastRowLastColumn="0"/>
        </w:trPr>
        <w:tc>
          <w:tcPr>
            <w:tcW w:w="3459" w:type="dxa"/>
          </w:tcPr>
          <w:p w14:paraId="7F6F0E31" w14:textId="77777777" w:rsidR="00766B62" w:rsidRDefault="00766B62" w:rsidP="008E4467">
            <w:pPr>
              <w:pStyle w:val="TableBody"/>
              <w:spacing w:line="288" w:lineRule="auto"/>
            </w:pPr>
            <w:r>
              <w:t>4.</w:t>
            </w:r>
            <w:r w:rsidRPr="000513E0">
              <w:t xml:space="preserve"> </w:t>
            </w:r>
            <w:r w:rsidRPr="00B67493">
              <w:t>Review and improve audit process and practices.</w:t>
            </w:r>
            <w:r w:rsidRPr="000513E0">
              <w:t xml:space="preserve"> </w:t>
            </w:r>
            <w:r w:rsidRPr="00B67493">
              <w:t>This includes</w:t>
            </w:r>
            <w:r>
              <w:t xml:space="preserve"> ensuring</w:t>
            </w:r>
            <w:r w:rsidRPr="00B67493">
              <w:t>:</w:t>
            </w:r>
          </w:p>
          <w:p w14:paraId="3D316CE8" w14:textId="77777777" w:rsidR="00766B62" w:rsidRDefault="00766B62" w:rsidP="008E4467">
            <w:pPr>
              <w:pStyle w:val="TableBullet"/>
            </w:pPr>
            <w:r>
              <w:t xml:space="preserve"> </w:t>
            </w:r>
            <w:proofErr w:type="gramStart"/>
            <w:r>
              <w:t>audit</w:t>
            </w:r>
            <w:proofErr w:type="gramEnd"/>
            <w:r>
              <w:t xml:space="preserve"> processes are efficient, transparent, fair, predictable, and protected from inappropriate influence. </w:t>
            </w:r>
          </w:p>
          <w:p w14:paraId="1B860A26" w14:textId="77777777" w:rsidR="00766B62" w:rsidRDefault="00766B62" w:rsidP="008E4467">
            <w:pPr>
              <w:pStyle w:val="TableBullet"/>
            </w:pPr>
            <w:proofErr w:type="gramStart"/>
            <w:r>
              <w:t>appropriate</w:t>
            </w:r>
            <w:proofErr w:type="gramEnd"/>
            <w:r>
              <w:t xml:space="preserve"> pricing of audit services.</w:t>
            </w:r>
          </w:p>
        </w:tc>
        <w:tc>
          <w:tcPr>
            <w:tcW w:w="6094" w:type="dxa"/>
          </w:tcPr>
          <w:p w14:paraId="3AB2D2D9" w14:textId="77777777" w:rsidR="00766B62" w:rsidRDefault="00766B62" w:rsidP="008E4467">
            <w:pPr>
              <w:pStyle w:val="TableBody"/>
              <w:spacing w:line="288" w:lineRule="auto"/>
            </w:pPr>
            <w:r>
              <w:t>Each distribution business will develop a program to improve its audit process and practices. Some suggestions for improving the audit process including:</w:t>
            </w:r>
          </w:p>
          <w:p w14:paraId="057FE3DC" w14:textId="77777777" w:rsidR="00766B62" w:rsidRDefault="00766B62" w:rsidP="008E4467">
            <w:pPr>
              <w:pStyle w:val="TableBullet"/>
            </w:pPr>
            <w:r>
              <w:t>finishing audits even if it would be a fail</w:t>
            </w:r>
          </w:p>
          <w:p w14:paraId="6B16F4F2" w14:textId="77777777" w:rsidR="00766B62" w:rsidRDefault="00766B62" w:rsidP="008E4467">
            <w:pPr>
              <w:pStyle w:val="TableBullet"/>
            </w:pPr>
            <w:r>
              <w:t>maximising opportunities for real time remediation of defects</w:t>
            </w:r>
          </w:p>
          <w:p w14:paraId="7F90F929" w14:textId="77777777" w:rsidR="00766B62" w:rsidRDefault="00766B62" w:rsidP="008E4467">
            <w:pPr>
              <w:pStyle w:val="TableBullet"/>
            </w:pPr>
            <w:r>
              <w:t>auditing interim milestones and providing feedback to developers so as they can fix any defects before the final audit</w:t>
            </w:r>
          </w:p>
          <w:p w14:paraId="30A372F2" w14:textId="77777777" w:rsidR="00766B62" w:rsidRDefault="00766B62" w:rsidP="008E4467">
            <w:pPr>
              <w:pStyle w:val="TableBullet"/>
            </w:pPr>
            <w:r>
              <w:t>including times for audit and re–audits within a service level agreement (discussed above)</w:t>
            </w:r>
          </w:p>
          <w:p w14:paraId="728B7329" w14:textId="77777777" w:rsidR="00766B62" w:rsidRDefault="00766B62" w:rsidP="008E4467">
            <w:pPr>
              <w:pStyle w:val="TableBullet"/>
            </w:pPr>
            <w:r>
              <w:t>adopting common audit process across all distribution businesses</w:t>
            </w:r>
          </w:p>
          <w:p w14:paraId="015E72ED" w14:textId="77777777" w:rsidR="00766B62" w:rsidRDefault="00766B62" w:rsidP="008E4467">
            <w:pPr>
              <w:pStyle w:val="TableBullet"/>
            </w:pPr>
            <w:proofErr w:type="gramStart"/>
            <w:r>
              <w:t>increasing</w:t>
            </w:r>
            <w:proofErr w:type="gramEnd"/>
            <w:r>
              <w:t xml:space="preserve"> the number of auditors available (potentially through contestability).</w:t>
            </w:r>
          </w:p>
          <w:p w14:paraId="069A1C8E" w14:textId="77777777" w:rsidR="00766B62" w:rsidRDefault="00766B62" w:rsidP="008E4467">
            <w:pPr>
              <w:pStyle w:val="TableBody"/>
              <w:spacing w:before="160" w:line="288" w:lineRule="auto"/>
            </w:pPr>
            <w:r>
              <w:t xml:space="preserve">Each distribution business will publish an audit performance for feedback every six months. The report may include data on the number of audits undertaken, the number of audits passed or failed, the number of </w:t>
            </w:r>
            <w:proofErr w:type="spellStart"/>
            <w:r>
              <w:t>reaudits</w:t>
            </w:r>
            <w:proofErr w:type="spellEnd"/>
            <w:r>
              <w:t xml:space="preserve"> and the reasons audits fail. This report will form part of the performance report described under item 2. </w:t>
            </w:r>
          </w:p>
          <w:p w14:paraId="199D50B2" w14:textId="77777777" w:rsidR="00766B62" w:rsidRDefault="00766B62" w:rsidP="008E4467">
            <w:pPr>
              <w:pStyle w:val="TableBody"/>
              <w:spacing w:before="160" w:line="288" w:lineRule="auto"/>
            </w:pPr>
            <w:r>
              <w:t xml:space="preserve">Each distribution business will seek appropriate service descriptions and classifications for audit services as part of the </w:t>
            </w:r>
            <w:r w:rsidRPr="006B3B34">
              <w:t xml:space="preserve">AER Service Classification process </w:t>
            </w:r>
            <w:r>
              <w:t xml:space="preserve">for the 2021-25 Victorian electricity distribution </w:t>
            </w:r>
            <w:r w:rsidRPr="006B3B34">
              <w:t>price review</w:t>
            </w:r>
            <w:r>
              <w:t xml:space="preserve"> (for example ,each will consider</w:t>
            </w:r>
            <w:r w:rsidRPr="006B3B34">
              <w:t xml:space="preserve"> </w:t>
            </w:r>
            <w:r>
              <w:t>‘</w:t>
            </w:r>
            <w:r w:rsidRPr="006B3B34">
              <w:t>fast-tracked audit services</w:t>
            </w:r>
            <w:r>
              <w:t>’</w:t>
            </w:r>
            <w:r w:rsidRPr="006B3B34">
              <w:t xml:space="preserve">, </w:t>
            </w:r>
            <w:r>
              <w:t>and ‘</w:t>
            </w:r>
            <w:r w:rsidRPr="006B3B34">
              <w:t>audit revisits</w:t>
            </w:r>
            <w:r>
              <w:t>’, as possible alternative control services)</w:t>
            </w:r>
            <w:r w:rsidRPr="006B3B34">
              <w:t>.</w:t>
            </w:r>
          </w:p>
        </w:tc>
      </w:tr>
    </w:tbl>
    <w:p w14:paraId="39B4A884" w14:textId="77777777" w:rsidR="00766B62" w:rsidRPr="00DE129D" w:rsidRDefault="00766B62" w:rsidP="00766B62">
      <w:pPr>
        <w:pStyle w:val="Source"/>
      </w:pPr>
      <w:r>
        <w:t>Continued next page</w:t>
      </w:r>
    </w:p>
    <w:p w14:paraId="07459315" w14:textId="77777777" w:rsidR="00766B62" w:rsidRDefault="00766B62" w:rsidP="00766B62">
      <w:pPr>
        <w:spacing w:before="0" w:line="259" w:lineRule="auto"/>
        <w:rPr>
          <w:rFonts w:asciiTheme="majorHAnsi" w:eastAsiaTheme="majorEastAsia" w:hAnsiTheme="majorHAnsi" w:cstheme="majorBidi"/>
          <w:b/>
          <w:color w:val="4986A0" w:themeColor="text2"/>
          <w:szCs w:val="24"/>
          <w:lang w:val="en-US"/>
        </w:rPr>
      </w:pPr>
      <w:r>
        <w:br w:type="page"/>
      </w:r>
    </w:p>
    <w:p w14:paraId="32D4CA31" w14:textId="77777777" w:rsidR="00766B62" w:rsidRDefault="00766B62" w:rsidP="00766B62">
      <w:pPr>
        <w:pStyle w:val="Figure-Table-BoxHeading"/>
        <w:numPr>
          <w:ilvl w:val="0"/>
          <w:numId w:val="0"/>
        </w:numPr>
      </w:pPr>
      <w:r>
        <w:lastRenderedPageBreak/>
        <w:t xml:space="preserve">Table continued </w:t>
      </w:r>
    </w:p>
    <w:tbl>
      <w:tblPr>
        <w:tblStyle w:val="TableGrid"/>
        <w:tblW w:w="0" w:type="auto"/>
        <w:tblInd w:w="85" w:type="dxa"/>
        <w:tblLook w:val="04A0" w:firstRow="1" w:lastRow="0" w:firstColumn="1" w:lastColumn="0" w:noHBand="0" w:noVBand="1"/>
      </w:tblPr>
      <w:tblGrid>
        <w:gridCol w:w="3459"/>
        <w:gridCol w:w="6094"/>
      </w:tblGrid>
      <w:tr w:rsidR="00766B62" w14:paraId="75C6CD5C" w14:textId="77777777" w:rsidTr="008E4467">
        <w:trPr>
          <w:cnfStyle w:val="100000000000" w:firstRow="1" w:lastRow="0" w:firstColumn="0" w:lastColumn="0" w:oddVBand="0" w:evenVBand="0" w:oddHBand="0" w:evenHBand="0" w:firstRowFirstColumn="0" w:firstRowLastColumn="0" w:lastRowFirstColumn="0" w:lastRowLastColumn="0"/>
          <w:tblHeader/>
        </w:trPr>
        <w:tc>
          <w:tcPr>
            <w:tcW w:w="3459" w:type="dxa"/>
          </w:tcPr>
          <w:p w14:paraId="65180D07" w14:textId="77777777" w:rsidR="00766B62" w:rsidRDefault="00766B62" w:rsidP="008E4467">
            <w:pPr>
              <w:pStyle w:val="ListBullet"/>
              <w:numPr>
                <w:ilvl w:val="0"/>
                <w:numId w:val="0"/>
              </w:numPr>
            </w:pPr>
            <w:r>
              <w:t xml:space="preserve">Outcome sought </w:t>
            </w:r>
          </w:p>
        </w:tc>
        <w:tc>
          <w:tcPr>
            <w:tcW w:w="6094" w:type="dxa"/>
          </w:tcPr>
          <w:p w14:paraId="7A0DABA8" w14:textId="77777777" w:rsidR="00766B62" w:rsidRDefault="00766B62" w:rsidP="008E4467">
            <w:pPr>
              <w:pStyle w:val="ListBullet"/>
              <w:numPr>
                <w:ilvl w:val="0"/>
                <w:numId w:val="0"/>
              </w:numPr>
            </w:pPr>
            <w:r>
              <w:t>Commitment from distribution business</w:t>
            </w:r>
          </w:p>
        </w:tc>
      </w:tr>
      <w:tr w:rsidR="00766B62" w14:paraId="265127A2" w14:textId="77777777" w:rsidTr="008E4467">
        <w:trPr>
          <w:cnfStyle w:val="000000100000" w:firstRow="0" w:lastRow="0" w:firstColumn="0" w:lastColumn="0" w:oddVBand="0" w:evenVBand="0" w:oddHBand="1" w:evenHBand="0" w:firstRowFirstColumn="0" w:firstRowLastColumn="0" w:lastRowFirstColumn="0" w:lastRowLastColumn="0"/>
        </w:trPr>
        <w:tc>
          <w:tcPr>
            <w:tcW w:w="3459" w:type="dxa"/>
          </w:tcPr>
          <w:p w14:paraId="1B0E1704" w14:textId="77777777" w:rsidR="00766B62" w:rsidRDefault="00766B62" w:rsidP="008E4467">
            <w:pPr>
              <w:pStyle w:val="TableBody"/>
              <w:spacing w:line="288" w:lineRule="auto"/>
            </w:pPr>
            <w:r>
              <w:t>5. Promoting efficient competition in connection services (or component parts)</w:t>
            </w:r>
          </w:p>
        </w:tc>
        <w:tc>
          <w:tcPr>
            <w:tcW w:w="6094" w:type="dxa"/>
          </w:tcPr>
          <w:p w14:paraId="12457ABB" w14:textId="77777777" w:rsidR="00766B62" w:rsidRPr="00FB14D5" w:rsidRDefault="00766B62" w:rsidP="008E4467">
            <w:pPr>
              <w:pStyle w:val="TableBody"/>
              <w:spacing w:line="288" w:lineRule="auto"/>
            </w:pPr>
            <w:r w:rsidRPr="000B3002">
              <w:t>In the next six months each distribution business will review the contestability of components of their connection services.</w:t>
            </w:r>
          </w:p>
          <w:p w14:paraId="3AE781E6" w14:textId="77777777" w:rsidR="00766B62" w:rsidRDefault="00766B62" w:rsidP="008E4467">
            <w:pPr>
              <w:pStyle w:val="TableBody"/>
              <w:spacing w:before="160" w:line="288" w:lineRule="auto"/>
            </w:pPr>
            <w:r>
              <w:t>This will occur where contestability can deliver timeliness, cost savings and enhanced user experiences, without compromising distribution network reliability, safety and performance.</w:t>
            </w:r>
          </w:p>
          <w:p w14:paraId="29E52873" w14:textId="77777777" w:rsidR="00766B62" w:rsidRDefault="00766B62" w:rsidP="008E4467">
            <w:pPr>
              <w:pStyle w:val="TableBody"/>
              <w:spacing w:before="160" w:line="288" w:lineRule="auto"/>
            </w:pPr>
            <w:r>
              <w:t>Each distributor to u</w:t>
            </w:r>
            <w:r w:rsidRPr="006B3B34">
              <w:t xml:space="preserve">se the AER Service Classification process at the beginning of </w:t>
            </w:r>
            <w:r>
              <w:t xml:space="preserve">each </w:t>
            </w:r>
            <w:r w:rsidRPr="006B3B34">
              <w:t>price review (NER Chapter 6) for the AER to</w:t>
            </w:r>
            <w:r>
              <w:t xml:space="preserve"> seek appropriate service descriptions and service classifications</w:t>
            </w:r>
            <w:r w:rsidRPr="006B3B34">
              <w:t xml:space="preserve"> </w:t>
            </w:r>
            <w:r>
              <w:t>to facilitate competition.</w:t>
            </w:r>
          </w:p>
          <w:p w14:paraId="26D83710" w14:textId="77777777" w:rsidR="00766B62" w:rsidRDefault="00766B62" w:rsidP="008E4467">
            <w:pPr>
              <w:pStyle w:val="TableBody"/>
              <w:spacing w:before="160" w:line="288" w:lineRule="auto"/>
            </w:pPr>
            <w:r>
              <w:t xml:space="preserve">Each distribution business will prepare a report on the matters discussed above under item 5. The report is due by 28 February 2019. </w:t>
            </w:r>
          </w:p>
        </w:tc>
      </w:tr>
      <w:tr w:rsidR="00766B62" w14:paraId="7E9A3A1F" w14:textId="77777777" w:rsidTr="008E4467">
        <w:trPr>
          <w:cnfStyle w:val="000000010000" w:firstRow="0" w:lastRow="0" w:firstColumn="0" w:lastColumn="0" w:oddVBand="0" w:evenVBand="0" w:oddHBand="0" w:evenHBand="1" w:firstRowFirstColumn="0" w:firstRowLastColumn="0" w:lastRowFirstColumn="0" w:lastRowLastColumn="0"/>
        </w:trPr>
        <w:tc>
          <w:tcPr>
            <w:tcW w:w="3459" w:type="dxa"/>
          </w:tcPr>
          <w:p w14:paraId="70361C5D" w14:textId="77777777" w:rsidR="00766B62" w:rsidRDefault="00766B62" w:rsidP="008E4467">
            <w:pPr>
              <w:pStyle w:val="TableBody"/>
              <w:spacing w:line="288" w:lineRule="auto"/>
            </w:pPr>
            <w:r>
              <w:t xml:space="preserve">6. </w:t>
            </w:r>
            <w:r w:rsidRPr="00755267">
              <w:t>Resource constraints - increased number of developments and associated pressure on qualified industry resources</w:t>
            </w:r>
          </w:p>
        </w:tc>
        <w:tc>
          <w:tcPr>
            <w:tcW w:w="6094" w:type="dxa"/>
          </w:tcPr>
          <w:p w14:paraId="06A64758" w14:textId="77777777" w:rsidR="00766B62" w:rsidRPr="00150B22" w:rsidRDefault="00766B62" w:rsidP="008E4467">
            <w:pPr>
              <w:pStyle w:val="TableBody"/>
              <w:spacing w:line="288" w:lineRule="auto"/>
            </w:pPr>
            <w:r w:rsidRPr="000B5C9A">
              <w:t>Eac</w:t>
            </w:r>
            <w:r w:rsidRPr="00666DB2">
              <w:t xml:space="preserve">h distribution business </w:t>
            </w:r>
            <w:r>
              <w:t>will</w:t>
            </w:r>
            <w:r w:rsidRPr="00666DB2">
              <w:t xml:space="preserve"> </w:t>
            </w:r>
            <w:r>
              <w:t xml:space="preserve">prepare a report </w:t>
            </w:r>
            <w:r w:rsidRPr="00666DB2">
              <w:t>outlin</w:t>
            </w:r>
            <w:r>
              <w:t>ing</w:t>
            </w:r>
            <w:r w:rsidRPr="00666DB2">
              <w:t xml:space="preserve"> its initiatives to increase resourcing related to new connections.</w:t>
            </w:r>
            <w:r>
              <w:t xml:space="preserve"> The first report is due by 30 November 2018. Annual reports will then be prepared for the next 3 years.</w:t>
            </w:r>
          </w:p>
        </w:tc>
      </w:tr>
    </w:tbl>
    <w:p w14:paraId="6537F28F" w14:textId="77777777" w:rsidR="00FE4AA9" w:rsidRDefault="00FE4AA9" w:rsidP="00440B1F">
      <w:pPr>
        <w:pStyle w:val="Heading3"/>
      </w:pPr>
    </w:p>
    <w:p w14:paraId="6DFB9E20" w14:textId="77777777" w:rsidR="00440B1F" w:rsidRDefault="00440B1F" w:rsidP="00440B1F"/>
    <w:p w14:paraId="70DF9E56" w14:textId="77777777" w:rsidR="00CF34A7" w:rsidRPr="004D369B" w:rsidRDefault="00CF34A7" w:rsidP="00CF34A7"/>
    <w:p w14:paraId="44E871BC" w14:textId="77777777" w:rsidR="004309BF" w:rsidRPr="00CF34A7" w:rsidRDefault="004309BF" w:rsidP="00CF34A7"/>
    <w:sectPr w:rsidR="004309BF" w:rsidRPr="00CF34A7" w:rsidSect="00440B4A">
      <w:headerReference w:type="first" r:id="rId26"/>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10EB" w14:textId="77777777" w:rsidR="00262824" w:rsidRDefault="00262824" w:rsidP="00AE03FA">
      <w:pPr>
        <w:spacing w:after="0"/>
      </w:pPr>
      <w:r>
        <w:separator/>
      </w:r>
    </w:p>
    <w:p w14:paraId="637805D2" w14:textId="77777777" w:rsidR="00262824" w:rsidRDefault="00262824"/>
  </w:endnote>
  <w:endnote w:type="continuationSeparator" w:id="0">
    <w:p w14:paraId="463F29E8" w14:textId="77777777" w:rsidR="00262824" w:rsidRDefault="00262824" w:rsidP="00AE03FA">
      <w:pPr>
        <w:spacing w:after="0"/>
      </w:pPr>
      <w:r>
        <w:continuationSeparator/>
      </w:r>
    </w:p>
    <w:p w14:paraId="3B7B4B86" w14:textId="77777777" w:rsidR="00262824" w:rsidRDefault="0026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5BB6A1F2"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93240CE"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81778">
            <w:rPr>
              <w:rStyle w:val="PageNumber"/>
              <w:noProof/>
            </w:rPr>
            <w:t>3</w:t>
          </w:r>
          <w:r w:rsidRPr="009E15D6">
            <w:rPr>
              <w:rStyle w:val="PageNumber"/>
            </w:rPr>
            <w:fldChar w:fldCharType="end"/>
          </w:r>
        </w:p>
      </w:tc>
    </w:tr>
  </w:tbl>
  <w:p w14:paraId="55F96888" w14:textId="77777777" w:rsidR="00CF34A7" w:rsidRPr="00440B1F" w:rsidRDefault="00440B1F"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645237">
          <w:rPr>
            <w:b/>
          </w:rPr>
          <w:t>Reporting Template</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14:paraId="3D3D22A9" w14:textId="77777777"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24AAD8A" w14:textId="77777777"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81778">
            <w:rPr>
              <w:rStyle w:val="PageNumber"/>
              <w:noProof/>
            </w:rPr>
            <w:t>1</w:t>
          </w:r>
          <w:r w:rsidRPr="009E15D6">
            <w:rPr>
              <w:rStyle w:val="PageNumber"/>
            </w:rPr>
            <w:fldChar w:fldCharType="end"/>
          </w:r>
        </w:p>
      </w:tc>
    </w:tr>
  </w:tbl>
  <w:p w14:paraId="1C1F92E0" w14:textId="77777777" w:rsidR="0064367E" w:rsidRPr="008D68A6" w:rsidRDefault="008D68A6"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645237">
          <w:rPr>
            <w:b/>
          </w:rPr>
          <w:t>Reporting Template</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F5F2" w14:textId="77777777" w:rsidR="00262824" w:rsidRPr="00CF33F6" w:rsidRDefault="00262824" w:rsidP="00AE03FA">
      <w:pPr>
        <w:spacing w:after="0"/>
        <w:rPr>
          <w:color w:val="75787B" w:themeColor="background2"/>
        </w:rPr>
      </w:pPr>
      <w:bookmarkStart w:id="0" w:name="_Hlk480978878"/>
      <w:bookmarkEnd w:id="0"/>
      <w:r w:rsidRPr="00CF33F6">
        <w:rPr>
          <w:color w:val="75787B" w:themeColor="background2"/>
        </w:rPr>
        <w:separator/>
      </w:r>
    </w:p>
    <w:p w14:paraId="5630AD66" w14:textId="77777777" w:rsidR="00262824" w:rsidRDefault="00262824" w:rsidP="00CF33F6">
      <w:pPr>
        <w:pStyle w:val="NoSpacing"/>
      </w:pPr>
    </w:p>
  </w:footnote>
  <w:footnote w:type="continuationSeparator" w:id="0">
    <w:p w14:paraId="61829076" w14:textId="77777777" w:rsidR="00262824" w:rsidRDefault="00262824" w:rsidP="00AE03FA">
      <w:pPr>
        <w:spacing w:after="0"/>
      </w:pPr>
      <w:r>
        <w:continuationSeparator/>
      </w:r>
    </w:p>
    <w:p w14:paraId="2BA226A1" w14:textId="77777777" w:rsidR="00262824" w:rsidRDefault="00262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5D23"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26EC" w14:textId="77777777" w:rsidR="0064367E" w:rsidRDefault="00181778">
    <w:pPr>
      <w:pStyle w:val="Header"/>
    </w:pPr>
    <w:sdt>
      <w:sdtPr>
        <w:id w:val="-1419014824"/>
        <w:docPartObj>
          <w:docPartGallery w:val="Watermarks"/>
          <w:docPartUnique/>
        </w:docPartObj>
      </w:sdtPr>
      <w:sdtEndPr/>
      <w:sdtContent>
        <w:r>
          <w:rPr>
            <w:noProof/>
            <w:lang w:val="en-US" w:eastAsia="zh-TW"/>
          </w:rPr>
          <w:pict w14:anchorId="2230E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4367E">
      <w:rPr>
        <w:noProof/>
        <w:lang w:eastAsia="en-AU"/>
      </w:rPr>
      <w:drawing>
        <wp:anchor distT="0" distB="180340" distL="114300" distR="114300" simplePos="0" relativeHeight="251656192" behindDoc="0" locked="0" layoutInCell="1" allowOverlap="1" wp14:anchorId="1EE6641B" wp14:editId="079B29C4">
          <wp:simplePos x="0" y="0"/>
          <wp:positionH relativeFrom="column">
            <wp:posOffset>-4445</wp:posOffset>
          </wp:positionH>
          <wp:positionV relativeFrom="paragraph">
            <wp:posOffset>263525</wp:posOffset>
          </wp:positionV>
          <wp:extent cx="2653030" cy="824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A841" w14:textId="77777777" w:rsidR="0072692C" w:rsidRDefault="00181778">
    <w:pPr>
      <w:pStyle w:val="Header"/>
    </w:pPr>
    <w:sdt>
      <w:sdtPr>
        <w:id w:val="-917549608"/>
        <w:docPartObj>
          <w:docPartGallery w:val="Watermarks"/>
          <w:docPartUnique/>
        </w:docPartObj>
      </w:sdtPr>
      <w:sdtEndPr/>
      <w:sdtContent>
        <w:r w:rsidR="008E3ECA">
          <w:rPr>
            <w:noProof/>
            <w:lang w:eastAsia="en-AU"/>
          </w:rPr>
          <mc:AlternateContent>
            <mc:Choice Requires="wps">
              <w:drawing>
                <wp:anchor distT="0" distB="0" distL="114300" distR="114300" simplePos="0" relativeHeight="251658240" behindDoc="1" locked="0" layoutInCell="0" allowOverlap="1" wp14:anchorId="3483A458" wp14:editId="07777777">
                  <wp:simplePos x="0" y="0"/>
                  <wp:positionH relativeFrom="margin">
                    <wp:align>center</wp:align>
                  </wp:positionH>
                  <wp:positionV relativeFrom="margin">
                    <wp:align>center</wp:align>
                  </wp:positionV>
                  <wp:extent cx="5237480" cy="3142615"/>
                  <wp:effectExtent l="0" t="1143000" r="0" b="6578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57217" w14:textId="77777777" w:rsidR="008E3ECA" w:rsidRDefault="008E3ECA" w:rsidP="008E3E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g+hwIAAPwE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F+&#10;yD6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9657217" w14:textId="77777777" w:rsidR="008E3ECA" w:rsidRDefault="008E3ECA" w:rsidP="008E3E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1F00" w14:textId="77777777" w:rsidR="0072692C" w:rsidRDefault="00181778">
    <w:pPr>
      <w:pStyle w:val="Header"/>
    </w:pPr>
    <w:sdt>
      <w:sdtPr>
        <w:id w:val="-980387092"/>
        <w:docPartObj>
          <w:docPartGallery w:val="Watermarks"/>
          <w:docPartUnique/>
        </w:docPartObj>
      </w:sdtPr>
      <w:sdtEndPr/>
      <w:sdtContent>
        <w:r w:rsidR="008E3ECA">
          <w:rPr>
            <w:noProof/>
            <w:lang w:eastAsia="en-AU"/>
          </w:rPr>
          <mc:AlternateContent>
            <mc:Choice Requires="wps">
              <w:drawing>
                <wp:anchor distT="0" distB="0" distL="114300" distR="114300" simplePos="0" relativeHeight="251657216" behindDoc="1" locked="0" layoutInCell="0" allowOverlap="1" wp14:anchorId="043D11E6" wp14:editId="07777777">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2C664" w14:textId="77777777" w:rsidR="008E3ECA" w:rsidRDefault="008E3ECA" w:rsidP="008E3E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l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TU&#10;X6W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702C664" w14:textId="77777777" w:rsidR="008E3ECA" w:rsidRDefault="008E3ECA" w:rsidP="008E3E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0F4C0D"/>
    <w:multiLevelType w:val="hybridMultilevel"/>
    <w:tmpl w:val="B040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531975"/>
    <w:multiLevelType w:val="hybridMultilevel"/>
    <w:tmpl w:val="4D52D02A"/>
    <w:lvl w:ilvl="0" w:tplc="86BC83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10C0B"/>
    <w:multiLevelType w:val="multilevel"/>
    <w:tmpl w:val="3D66CBA2"/>
    <w:numStyleLink w:val="CustomNumberlist"/>
  </w:abstractNum>
  <w:abstractNum w:abstractNumId="16">
    <w:nsid w:val="19295DFE"/>
    <w:multiLevelType w:val="hybridMultilevel"/>
    <w:tmpl w:val="4FA2877A"/>
    <w:lvl w:ilvl="0" w:tplc="0C090001">
      <w:start w:val="1"/>
      <w:numFmt w:val="bullet"/>
      <w:lvlText w:val=""/>
      <w:lvlJc w:val="left"/>
      <w:pPr>
        <w:ind w:left="407" w:hanging="360"/>
      </w:pPr>
      <w:rPr>
        <w:rFonts w:ascii="Symbol" w:hAnsi="Symbo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17">
    <w:nsid w:val="19756073"/>
    <w:multiLevelType w:val="hybridMultilevel"/>
    <w:tmpl w:val="DDA48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6F4C4E"/>
    <w:multiLevelType w:val="hybridMultilevel"/>
    <w:tmpl w:val="3BBC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8052EF"/>
    <w:multiLevelType w:val="multilevel"/>
    <w:tmpl w:val="DF4A9966"/>
    <w:numStyleLink w:val="TableBullets"/>
  </w:abstractNum>
  <w:abstractNum w:abstractNumId="21">
    <w:nsid w:val="1F582E78"/>
    <w:multiLevelType w:val="hybridMultilevel"/>
    <w:tmpl w:val="1778C9AE"/>
    <w:lvl w:ilvl="0" w:tplc="9F9EF01C">
      <w:numFmt w:val="bullet"/>
      <w:lvlText w:val=""/>
      <w:lvlJc w:val="left"/>
      <w:pPr>
        <w:ind w:left="447" w:hanging="361"/>
      </w:pPr>
      <w:rPr>
        <w:rFonts w:ascii="Symbol" w:eastAsia="Symbol" w:hAnsi="Symbol" w:cs="Symbol" w:hint="default"/>
        <w:color w:val="48859F"/>
        <w:w w:val="100"/>
        <w:sz w:val="18"/>
        <w:szCs w:val="18"/>
      </w:rPr>
    </w:lvl>
    <w:lvl w:ilvl="1" w:tplc="1FFA44DC">
      <w:numFmt w:val="bullet"/>
      <w:lvlText w:val="•"/>
      <w:lvlJc w:val="left"/>
      <w:pPr>
        <w:ind w:left="906" w:hanging="361"/>
      </w:pPr>
      <w:rPr>
        <w:rFonts w:hint="default"/>
      </w:rPr>
    </w:lvl>
    <w:lvl w:ilvl="2" w:tplc="3B4C5BD4">
      <w:numFmt w:val="bullet"/>
      <w:lvlText w:val="•"/>
      <w:lvlJc w:val="left"/>
      <w:pPr>
        <w:ind w:left="1372" w:hanging="361"/>
      </w:pPr>
      <w:rPr>
        <w:rFonts w:hint="default"/>
      </w:rPr>
    </w:lvl>
    <w:lvl w:ilvl="3" w:tplc="50AADF70">
      <w:numFmt w:val="bullet"/>
      <w:lvlText w:val="•"/>
      <w:lvlJc w:val="left"/>
      <w:pPr>
        <w:ind w:left="1839" w:hanging="361"/>
      </w:pPr>
      <w:rPr>
        <w:rFonts w:hint="default"/>
      </w:rPr>
    </w:lvl>
    <w:lvl w:ilvl="4" w:tplc="518E0530">
      <w:numFmt w:val="bullet"/>
      <w:lvlText w:val="•"/>
      <w:lvlJc w:val="left"/>
      <w:pPr>
        <w:ind w:left="2305" w:hanging="361"/>
      </w:pPr>
      <w:rPr>
        <w:rFonts w:hint="default"/>
      </w:rPr>
    </w:lvl>
    <w:lvl w:ilvl="5" w:tplc="4A26E7DE">
      <w:numFmt w:val="bullet"/>
      <w:lvlText w:val="•"/>
      <w:lvlJc w:val="left"/>
      <w:pPr>
        <w:ind w:left="2771" w:hanging="361"/>
      </w:pPr>
      <w:rPr>
        <w:rFonts w:hint="default"/>
      </w:rPr>
    </w:lvl>
    <w:lvl w:ilvl="6" w:tplc="AC5A9BEA">
      <w:numFmt w:val="bullet"/>
      <w:lvlText w:val="•"/>
      <w:lvlJc w:val="left"/>
      <w:pPr>
        <w:ind w:left="3238" w:hanging="361"/>
      </w:pPr>
      <w:rPr>
        <w:rFonts w:hint="default"/>
      </w:rPr>
    </w:lvl>
    <w:lvl w:ilvl="7" w:tplc="E9A26F3A">
      <w:numFmt w:val="bullet"/>
      <w:lvlText w:val="•"/>
      <w:lvlJc w:val="left"/>
      <w:pPr>
        <w:ind w:left="3704" w:hanging="361"/>
      </w:pPr>
      <w:rPr>
        <w:rFonts w:hint="default"/>
      </w:rPr>
    </w:lvl>
    <w:lvl w:ilvl="8" w:tplc="91223BAE">
      <w:numFmt w:val="bullet"/>
      <w:lvlText w:val="•"/>
      <w:lvlJc w:val="left"/>
      <w:pPr>
        <w:ind w:left="4170" w:hanging="361"/>
      </w:pPr>
      <w:rPr>
        <w:rFonts w:hint="default"/>
      </w:r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0C53E1B"/>
    <w:multiLevelType w:val="hybridMultilevel"/>
    <w:tmpl w:val="5F40A3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1E2703F"/>
    <w:multiLevelType w:val="hybridMultilevel"/>
    <w:tmpl w:val="CCDA4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9E348D"/>
    <w:multiLevelType w:val="multilevel"/>
    <w:tmpl w:val="3D66CBA2"/>
    <w:numStyleLink w:val="CustomNumberlist"/>
  </w:abstractNum>
  <w:abstractNum w:abstractNumId="27">
    <w:nsid w:val="39AE14FA"/>
    <w:multiLevelType w:val="hybridMultilevel"/>
    <w:tmpl w:val="D2BE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9C20E77"/>
    <w:multiLevelType w:val="multilevel"/>
    <w:tmpl w:val="6D9A2BC2"/>
    <w:numStyleLink w:val="NumberedHeadings"/>
  </w:abstractNum>
  <w:abstractNum w:abstractNumId="29">
    <w:nsid w:val="3AA454D7"/>
    <w:multiLevelType w:val="multilevel"/>
    <w:tmpl w:val="6D9A2BC2"/>
    <w:numStyleLink w:val="NumberedHeadings"/>
  </w:abstractNum>
  <w:abstractNum w:abstractNumId="3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B312E0"/>
    <w:multiLevelType w:val="hybridMultilevel"/>
    <w:tmpl w:val="AB18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A8B0109"/>
    <w:multiLevelType w:val="multilevel"/>
    <w:tmpl w:val="3D66CBA2"/>
    <w:numStyleLink w:val="CustomNumberlist"/>
  </w:abstractNum>
  <w:abstractNum w:abstractNumId="34">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505317"/>
    <w:multiLevelType w:val="multilevel"/>
    <w:tmpl w:val="3D66CBA2"/>
    <w:numStyleLink w:val="CustomNumberlist"/>
  </w:abstractNum>
  <w:abstractNum w:abstractNumId="37">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4246B28"/>
    <w:multiLevelType w:val="hybridMultilevel"/>
    <w:tmpl w:val="551A5054"/>
    <w:lvl w:ilvl="0" w:tplc="19B69DDA">
      <w:numFmt w:val="bullet"/>
      <w:lvlText w:val=""/>
      <w:lvlJc w:val="left"/>
      <w:pPr>
        <w:ind w:left="579" w:hanging="428"/>
      </w:pPr>
      <w:rPr>
        <w:rFonts w:ascii="Symbol" w:eastAsia="Symbol" w:hAnsi="Symbol" w:cs="Symbol" w:hint="default"/>
        <w:w w:val="100"/>
        <w:sz w:val="22"/>
        <w:szCs w:val="22"/>
      </w:rPr>
    </w:lvl>
    <w:lvl w:ilvl="1" w:tplc="4412E25C">
      <w:numFmt w:val="bullet"/>
      <w:lvlText w:val=""/>
      <w:lvlJc w:val="left"/>
      <w:pPr>
        <w:ind w:left="717" w:hanging="432"/>
      </w:pPr>
      <w:rPr>
        <w:rFonts w:ascii="Symbol" w:eastAsia="Symbol" w:hAnsi="Symbol" w:cs="Symbol" w:hint="default"/>
        <w:w w:val="100"/>
        <w:sz w:val="22"/>
        <w:szCs w:val="22"/>
      </w:rPr>
    </w:lvl>
    <w:lvl w:ilvl="2" w:tplc="8D267F3A">
      <w:numFmt w:val="bullet"/>
      <w:lvlText w:val="•"/>
      <w:lvlJc w:val="left"/>
      <w:pPr>
        <w:ind w:left="635" w:hanging="432"/>
      </w:pPr>
      <w:rPr>
        <w:rFonts w:hint="default"/>
      </w:rPr>
    </w:lvl>
    <w:lvl w:ilvl="3" w:tplc="747E77AE">
      <w:numFmt w:val="bullet"/>
      <w:lvlText w:val="•"/>
      <w:lvlJc w:val="left"/>
      <w:pPr>
        <w:ind w:left="551" w:hanging="432"/>
      </w:pPr>
      <w:rPr>
        <w:rFonts w:hint="default"/>
      </w:rPr>
    </w:lvl>
    <w:lvl w:ilvl="4" w:tplc="E9BEA782">
      <w:numFmt w:val="bullet"/>
      <w:lvlText w:val="•"/>
      <w:lvlJc w:val="left"/>
      <w:pPr>
        <w:ind w:left="466" w:hanging="432"/>
      </w:pPr>
      <w:rPr>
        <w:rFonts w:hint="default"/>
      </w:rPr>
    </w:lvl>
    <w:lvl w:ilvl="5" w:tplc="AA2E419A">
      <w:numFmt w:val="bullet"/>
      <w:lvlText w:val="•"/>
      <w:lvlJc w:val="left"/>
      <w:pPr>
        <w:ind w:left="382" w:hanging="432"/>
      </w:pPr>
      <w:rPr>
        <w:rFonts w:hint="default"/>
      </w:rPr>
    </w:lvl>
    <w:lvl w:ilvl="6" w:tplc="FE3A8574">
      <w:numFmt w:val="bullet"/>
      <w:lvlText w:val="•"/>
      <w:lvlJc w:val="left"/>
      <w:pPr>
        <w:ind w:left="297" w:hanging="432"/>
      </w:pPr>
      <w:rPr>
        <w:rFonts w:hint="default"/>
      </w:rPr>
    </w:lvl>
    <w:lvl w:ilvl="7" w:tplc="2A5C56B0">
      <w:numFmt w:val="bullet"/>
      <w:lvlText w:val="•"/>
      <w:lvlJc w:val="left"/>
      <w:pPr>
        <w:ind w:left="213" w:hanging="432"/>
      </w:pPr>
      <w:rPr>
        <w:rFonts w:hint="default"/>
      </w:rPr>
    </w:lvl>
    <w:lvl w:ilvl="8" w:tplc="1E2028EE">
      <w:numFmt w:val="bullet"/>
      <w:lvlText w:val="•"/>
      <w:lvlJc w:val="left"/>
      <w:pPr>
        <w:ind w:left="128" w:hanging="432"/>
      </w:pPr>
      <w:rPr>
        <w:rFonts w:hint="default"/>
      </w:rPr>
    </w:lvl>
  </w:abstractNum>
  <w:abstractNum w:abstractNumId="4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1526D7"/>
    <w:multiLevelType w:val="hybridMultilevel"/>
    <w:tmpl w:val="5B9CD206"/>
    <w:lvl w:ilvl="0" w:tplc="A712CCA0">
      <w:numFmt w:val="bullet"/>
      <w:lvlText w:val=""/>
      <w:lvlJc w:val="left"/>
      <w:pPr>
        <w:ind w:left="487" w:hanging="433"/>
      </w:pPr>
      <w:rPr>
        <w:rFonts w:ascii="Symbol" w:eastAsia="Symbol" w:hAnsi="Symbol" w:cs="Symbol" w:hint="default"/>
        <w:w w:val="100"/>
        <w:sz w:val="22"/>
        <w:szCs w:val="22"/>
      </w:rPr>
    </w:lvl>
    <w:lvl w:ilvl="1" w:tplc="B7C21C7E">
      <w:numFmt w:val="bullet"/>
      <w:lvlText w:val="•"/>
      <w:lvlJc w:val="left"/>
      <w:pPr>
        <w:ind w:left="968" w:hanging="433"/>
      </w:pPr>
      <w:rPr>
        <w:rFonts w:hint="default"/>
      </w:rPr>
    </w:lvl>
    <w:lvl w:ilvl="2" w:tplc="6B3C769A">
      <w:numFmt w:val="bullet"/>
      <w:lvlText w:val="•"/>
      <w:lvlJc w:val="left"/>
      <w:pPr>
        <w:ind w:left="1456" w:hanging="433"/>
      </w:pPr>
      <w:rPr>
        <w:rFonts w:hint="default"/>
      </w:rPr>
    </w:lvl>
    <w:lvl w:ilvl="3" w:tplc="790638B6">
      <w:numFmt w:val="bullet"/>
      <w:lvlText w:val="•"/>
      <w:lvlJc w:val="left"/>
      <w:pPr>
        <w:ind w:left="1944" w:hanging="433"/>
      </w:pPr>
      <w:rPr>
        <w:rFonts w:hint="default"/>
      </w:rPr>
    </w:lvl>
    <w:lvl w:ilvl="4" w:tplc="10643EB8">
      <w:numFmt w:val="bullet"/>
      <w:lvlText w:val="•"/>
      <w:lvlJc w:val="left"/>
      <w:pPr>
        <w:ind w:left="2432" w:hanging="433"/>
      </w:pPr>
      <w:rPr>
        <w:rFonts w:hint="default"/>
      </w:rPr>
    </w:lvl>
    <w:lvl w:ilvl="5" w:tplc="6CEAC114">
      <w:numFmt w:val="bullet"/>
      <w:lvlText w:val="•"/>
      <w:lvlJc w:val="left"/>
      <w:pPr>
        <w:ind w:left="2920" w:hanging="433"/>
      </w:pPr>
      <w:rPr>
        <w:rFonts w:hint="default"/>
      </w:rPr>
    </w:lvl>
    <w:lvl w:ilvl="6" w:tplc="8FCCF598">
      <w:numFmt w:val="bullet"/>
      <w:lvlText w:val="•"/>
      <w:lvlJc w:val="left"/>
      <w:pPr>
        <w:ind w:left="3408" w:hanging="433"/>
      </w:pPr>
      <w:rPr>
        <w:rFonts w:hint="default"/>
      </w:rPr>
    </w:lvl>
    <w:lvl w:ilvl="7" w:tplc="4EBE1D58">
      <w:numFmt w:val="bullet"/>
      <w:lvlText w:val="•"/>
      <w:lvlJc w:val="left"/>
      <w:pPr>
        <w:ind w:left="3896" w:hanging="433"/>
      </w:pPr>
      <w:rPr>
        <w:rFonts w:hint="default"/>
      </w:rPr>
    </w:lvl>
    <w:lvl w:ilvl="8" w:tplc="22AA25FE">
      <w:numFmt w:val="bullet"/>
      <w:lvlText w:val="•"/>
      <w:lvlJc w:val="left"/>
      <w:pPr>
        <w:ind w:left="4384" w:hanging="433"/>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1"/>
  </w:num>
  <w:num w:numId="17">
    <w:abstractNumId w:val="32"/>
  </w:num>
  <w:num w:numId="18">
    <w:abstractNumId w:val="32"/>
  </w:num>
  <w:num w:numId="19">
    <w:abstractNumId w:val="26"/>
  </w:num>
  <w:num w:numId="20">
    <w:abstractNumId w:val="15"/>
  </w:num>
  <w:num w:numId="21">
    <w:abstractNumId w:val="34"/>
  </w:num>
  <w:num w:numId="22">
    <w:abstractNumId w:val="36"/>
  </w:num>
  <w:num w:numId="23">
    <w:abstractNumId w:val="13"/>
  </w:num>
  <w:num w:numId="24">
    <w:abstractNumId w:val="40"/>
  </w:num>
  <w:num w:numId="25">
    <w:abstractNumId w:val="35"/>
  </w:num>
  <w:num w:numId="26">
    <w:abstractNumId w:val="37"/>
  </w:num>
  <w:num w:numId="27">
    <w:abstractNumId w:val="20"/>
  </w:num>
  <w:num w:numId="28">
    <w:abstractNumId w:val="29"/>
  </w:num>
  <w:num w:numId="29">
    <w:abstractNumId w:val="28"/>
  </w:num>
  <w:num w:numId="30">
    <w:abstractNumId w:val="18"/>
  </w:num>
  <w:num w:numId="31">
    <w:abstractNumId w:val="3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9"/>
  </w:num>
  <w:num w:numId="36">
    <w:abstractNumId w:val="25"/>
  </w:num>
  <w:num w:numId="37">
    <w:abstractNumId w:val="37"/>
  </w:num>
  <w:num w:numId="38">
    <w:abstractNumId w:val="37"/>
  </w:num>
  <w:num w:numId="39">
    <w:abstractNumId w:val="12"/>
  </w:num>
  <w:num w:numId="40">
    <w:abstractNumId w:val="14"/>
  </w:num>
  <w:num w:numId="41">
    <w:abstractNumId w:val="17"/>
  </w:num>
  <w:num w:numId="42">
    <w:abstractNumId w:val="24"/>
  </w:num>
  <w:num w:numId="43">
    <w:abstractNumId w:val="21"/>
  </w:num>
  <w:num w:numId="44">
    <w:abstractNumId w:val="16"/>
  </w:num>
  <w:num w:numId="45">
    <w:abstractNumId w:val="31"/>
  </w:num>
  <w:num w:numId="46">
    <w:abstractNumId w:val="39"/>
  </w:num>
  <w:num w:numId="47">
    <w:abstractNumId w:val="2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6C"/>
    <w:rsid w:val="000046BD"/>
    <w:rsid w:val="00006CA7"/>
    <w:rsid w:val="00006D02"/>
    <w:rsid w:val="00015588"/>
    <w:rsid w:val="0001759C"/>
    <w:rsid w:val="00022575"/>
    <w:rsid w:val="00030EB5"/>
    <w:rsid w:val="000518F3"/>
    <w:rsid w:val="00054855"/>
    <w:rsid w:val="000550BD"/>
    <w:rsid w:val="000566E0"/>
    <w:rsid w:val="00056A38"/>
    <w:rsid w:val="000615ED"/>
    <w:rsid w:val="00062AE4"/>
    <w:rsid w:val="000668CB"/>
    <w:rsid w:val="00067DD9"/>
    <w:rsid w:val="00071A02"/>
    <w:rsid w:val="000A06D0"/>
    <w:rsid w:val="000A1292"/>
    <w:rsid w:val="000A5C02"/>
    <w:rsid w:val="000A759D"/>
    <w:rsid w:val="000A7FD9"/>
    <w:rsid w:val="000B09B1"/>
    <w:rsid w:val="000B7721"/>
    <w:rsid w:val="000C011B"/>
    <w:rsid w:val="000C1A08"/>
    <w:rsid w:val="000C69D4"/>
    <w:rsid w:val="000C6A03"/>
    <w:rsid w:val="000C6C51"/>
    <w:rsid w:val="000D250D"/>
    <w:rsid w:val="000D4547"/>
    <w:rsid w:val="001013A7"/>
    <w:rsid w:val="00103C86"/>
    <w:rsid w:val="00106608"/>
    <w:rsid w:val="001450C0"/>
    <w:rsid w:val="00146834"/>
    <w:rsid w:val="00150052"/>
    <w:rsid w:val="00151037"/>
    <w:rsid w:val="00153081"/>
    <w:rsid w:val="00160F48"/>
    <w:rsid w:val="00166892"/>
    <w:rsid w:val="00181778"/>
    <w:rsid w:val="00184CEF"/>
    <w:rsid w:val="001869B0"/>
    <w:rsid w:val="00187ACF"/>
    <w:rsid w:val="00192FFE"/>
    <w:rsid w:val="001A4ACF"/>
    <w:rsid w:val="001B0DF8"/>
    <w:rsid w:val="001B3373"/>
    <w:rsid w:val="001C29F6"/>
    <w:rsid w:val="001C750A"/>
    <w:rsid w:val="001D07CD"/>
    <w:rsid w:val="001D234F"/>
    <w:rsid w:val="001D5031"/>
    <w:rsid w:val="001D6051"/>
    <w:rsid w:val="001E28DF"/>
    <w:rsid w:val="001E3CE3"/>
    <w:rsid w:val="001F3997"/>
    <w:rsid w:val="001F64A3"/>
    <w:rsid w:val="00204C88"/>
    <w:rsid w:val="002056BA"/>
    <w:rsid w:val="002120C8"/>
    <w:rsid w:val="00220B32"/>
    <w:rsid w:val="0022708E"/>
    <w:rsid w:val="00232581"/>
    <w:rsid w:val="00234508"/>
    <w:rsid w:val="002469AB"/>
    <w:rsid w:val="00251145"/>
    <w:rsid w:val="00252135"/>
    <w:rsid w:val="00262824"/>
    <w:rsid w:val="002750C4"/>
    <w:rsid w:val="0029525D"/>
    <w:rsid w:val="002966CE"/>
    <w:rsid w:val="002A059D"/>
    <w:rsid w:val="002B31C4"/>
    <w:rsid w:val="002C2ADF"/>
    <w:rsid w:val="002D3B02"/>
    <w:rsid w:val="002D682B"/>
    <w:rsid w:val="002E48AC"/>
    <w:rsid w:val="002F0AAB"/>
    <w:rsid w:val="003107C4"/>
    <w:rsid w:val="00317C67"/>
    <w:rsid w:val="0032755F"/>
    <w:rsid w:val="00332569"/>
    <w:rsid w:val="003339B1"/>
    <w:rsid w:val="00344D56"/>
    <w:rsid w:val="00345A8E"/>
    <w:rsid w:val="00346D74"/>
    <w:rsid w:val="00353663"/>
    <w:rsid w:val="00360763"/>
    <w:rsid w:val="003747E0"/>
    <w:rsid w:val="00375975"/>
    <w:rsid w:val="00375CBF"/>
    <w:rsid w:val="00375EFC"/>
    <w:rsid w:val="003837CC"/>
    <w:rsid w:val="003904B9"/>
    <w:rsid w:val="00391ACF"/>
    <w:rsid w:val="00394187"/>
    <w:rsid w:val="00395400"/>
    <w:rsid w:val="00395CFE"/>
    <w:rsid w:val="003A16E1"/>
    <w:rsid w:val="003A2748"/>
    <w:rsid w:val="003A30F3"/>
    <w:rsid w:val="003A7D9C"/>
    <w:rsid w:val="003C39F4"/>
    <w:rsid w:val="003C62B6"/>
    <w:rsid w:val="003D25D4"/>
    <w:rsid w:val="003D4D07"/>
    <w:rsid w:val="003D7A51"/>
    <w:rsid w:val="003E5D49"/>
    <w:rsid w:val="003F1961"/>
    <w:rsid w:val="003F66EC"/>
    <w:rsid w:val="003F7245"/>
    <w:rsid w:val="004064CD"/>
    <w:rsid w:val="00414AB9"/>
    <w:rsid w:val="00422A3D"/>
    <w:rsid w:val="00422F0E"/>
    <w:rsid w:val="00424624"/>
    <w:rsid w:val="0043066B"/>
    <w:rsid w:val="004309BF"/>
    <w:rsid w:val="00430D8E"/>
    <w:rsid w:val="00440B1F"/>
    <w:rsid w:val="00440B4A"/>
    <w:rsid w:val="00453AD0"/>
    <w:rsid w:val="004558CC"/>
    <w:rsid w:val="0046312A"/>
    <w:rsid w:val="00465FB6"/>
    <w:rsid w:val="00474670"/>
    <w:rsid w:val="00482595"/>
    <w:rsid w:val="00484F2D"/>
    <w:rsid w:val="004855CE"/>
    <w:rsid w:val="00490E2B"/>
    <w:rsid w:val="00495E2E"/>
    <w:rsid w:val="00496CF9"/>
    <w:rsid w:val="004A05CB"/>
    <w:rsid w:val="004B338E"/>
    <w:rsid w:val="004E0FF2"/>
    <w:rsid w:val="0050064B"/>
    <w:rsid w:val="005014C6"/>
    <w:rsid w:val="00506756"/>
    <w:rsid w:val="005122B0"/>
    <w:rsid w:val="0051711A"/>
    <w:rsid w:val="005270D6"/>
    <w:rsid w:val="00531D5F"/>
    <w:rsid w:val="00537FFD"/>
    <w:rsid w:val="00541F9A"/>
    <w:rsid w:val="00545E3C"/>
    <w:rsid w:val="00554306"/>
    <w:rsid w:val="0056203A"/>
    <w:rsid w:val="00563AD8"/>
    <w:rsid w:val="00564BE8"/>
    <w:rsid w:val="00570E5B"/>
    <w:rsid w:val="0059727F"/>
    <w:rsid w:val="005A1443"/>
    <w:rsid w:val="005A2D99"/>
    <w:rsid w:val="005C6E04"/>
    <w:rsid w:val="005C7930"/>
    <w:rsid w:val="005C7B33"/>
    <w:rsid w:val="005D16B0"/>
    <w:rsid w:val="005E1D1E"/>
    <w:rsid w:val="005E2A78"/>
    <w:rsid w:val="005E2E03"/>
    <w:rsid w:val="005F3D90"/>
    <w:rsid w:val="005F5578"/>
    <w:rsid w:val="00615C49"/>
    <w:rsid w:val="00621BD2"/>
    <w:rsid w:val="00633068"/>
    <w:rsid w:val="00633ED6"/>
    <w:rsid w:val="0063494B"/>
    <w:rsid w:val="006415DC"/>
    <w:rsid w:val="0064367E"/>
    <w:rsid w:val="00645237"/>
    <w:rsid w:val="00655D9D"/>
    <w:rsid w:val="006565C1"/>
    <w:rsid w:val="00666190"/>
    <w:rsid w:val="006678DE"/>
    <w:rsid w:val="00675D75"/>
    <w:rsid w:val="006817B0"/>
    <w:rsid w:val="00685742"/>
    <w:rsid w:val="006A2CA4"/>
    <w:rsid w:val="006B35FD"/>
    <w:rsid w:val="006C4904"/>
    <w:rsid w:val="006C5804"/>
    <w:rsid w:val="006D0A5E"/>
    <w:rsid w:val="006D4CD9"/>
    <w:rsid w:val="006E0F37"/>
    <w:rsid w:val="006E6549"/>
    <w:rsid w:val="006E6B2B"/>
    <w:rsid w:val="006F1FD3"/>
    <w:rsid w:val="006F29EA"/>
    <w:rsid w:val="007021C2"/>
    <w:rsid w:val="00703C67"/>
    <w:rsid w:val="0070480D"/>
    <w:rsid w:val="00707B2F"/>
    <w:rsid w:val="00710792"/>
    <w:rsid w:val="00711BA5"/>
    <w:rsid w:val="00716031"/>
    <w:rsid w:val="0071799F"/>
    <w:rsid w:val="00717CCA"/>
    <w:rsid w:val="007202C6"/>
    <w:rsid w:val="0072692C"/>
    <w:rsid w:val="00734179"/>
    <w:rsid w:val="00740079"/>
    <w:rsid w:val="00740720"/>
    <w:rsid w:val="00747563"/>
    <w:rsid w:val="00747B0A"/>
    <w:rsid w:val="00750535"/>
    <w:rsid w:val="00754368"/>
    <w:rsid w:val="00757301"/>
    <w:rsid w:val="00760923"/>
    <w:rsid w:val="00764333"/>
    <w:rsid w:val="00766B62"/>
    <w:rsid w:val="00772EB1"/>
    <w:rsid w:val="00781227"/>
    <w:rsid w:val="007819F0"/>
    <w:rsid w:val="00781D9F"/>
    <w:rsid w:val="00782E55"/>
    <w:rsid w:val="00784DEB"/>
    <w:rsid w:val="00785907"/>
    <w:rsid w:val="00792B10"/>
    <w:rsid w:val="00796928"/>
    <w:rsid w:val="007A5734"/>
    <w:rsid w:val="007A79D5"/>
    <w:rsid w:val="007B0A5A"/>
    <w:rsid w:val="007B17DA"/>
    <w:rsid w:val="007B3BAB"/>
    <w:rsid w:val="007B565F"/>
    <w:rsid w:val="007B6C8C"/>
    <w:rsid w:val="007C7E2D"/>
    <w:rsid w:val="007D495A"/>
    <w:rsid w:val="007F526C"/>
    <w:rsid w:val="007F70F7"/>
    <w:rsid w:val="00833043"/>
    <w:rsid w:val="008372DC"/>
    <w:rsid w:val="0085188E"/>
    <w:rsid w:val="00865ECE"/>
    <w:rsid w:val="008703F2"/>
    <w:rsid w:val="00876A85"/>
    <w:rsid w:val="00881E07"/>
    <w:rsid w:val="00882783"/>
    <w:rsid w:val="008958E8"/>
    <w:rsid w:val="008A3708"/>
    <w:rsid w:val="008A73C5"/>
    <w:rsid w:val="008A7A8E"/>
    <w:rsid w:val="008B6874"/>
    <w:rsid w:val="008C1818"/>
    <w:rsid w:val="008D2C44"/>
    <w:rsid w:val="008D5E13"/>
    <w:rsid w:val="008D68A6"/>
    <w:rsid w:val="008E3809"/>
    <w:rsid w:val="008E3ECA"/>
    <w:rsid w:val="008F7087"/>
    <w:rsid w:val="009058B1"/>
    <w:rsid w:val="00906857"/>
    <w:rsid w:val="009114FC"/>
    <w:rsid w:val="00916721"/>
    <w:rsid w:val="0092146B"/>
    <w:rsid w:val="00921A60"/>
    <w:rsid w:val="009230CE"/>
    <w:rsid w:val="00935EDD"/>
    <w:rsid w:val="00943BDE"/>
    <w:rsid w:val="0095566B"/>
    <w:rsid w:val="0095573B"/>
    <w:rsid w:val="00981BEC"/>
    <w:rsid w:val="00986CF3"/>
    <w:rsid w:val="00987601"/>
    <w:rsid w:val="009912E1"/>
    <w:rsid w:val="009928C6"/>
    <w:rsid w:val="009A215A"/>
    <w:rsid w:val="009A2969"/>
    <w:rsid w:val="009A4DB9"/>
    <w:rsid w:val="009B3DEB"/>
    <w:rsid w:val="009B3ECA"/>
    <w:rsid w:val="009B583F"/>
    <w:rsid w:val="009C3565"/>
    <w:rsid w:val="009C4F0A"/>
    <w:rsid w:val="009E15D6"/>
    <w:rsid w:val="009E2C7E"/>
    <w:rsid w:val="009E6C3F"/>
    <w:rsid w:val="009F1D9C"/>
    <w:rsid w:val="009F1F66"/>
    <w:rsid w:val="009F6CB7"/>
    <w:rsid w:val="00A030DE"/>
    <w:rsid w:val="00A15B6D"/>
    <w:rsid w:val="00A22AAA"/>
    <w:rsid w:val="00A27C06"/>
    <w:rsid w:val="00A27D94"/>
    <w:rsid w:val="00A31DE8"/>
    <w:rsid w:val="00A672AE"/>
    <w:rsid w:val="00A67A25"/>
    <w:rsid w:val="00A85358"/>
    <w:rsid w:val="00A90C3B"/>
    <w:rsid w:val="00A93CAF"/>
    <w:rsid w:val="00A94044"/>
    <w:rsid w:val="00A9572C"/>
    <w:rsid w:val="00AA5609"/>
    <w:rsid w:val="00AB1055"/>
    <w:rsid w:val="00AB13A2"/>
    <w:rsid w:val="00AC013C"/>
    <w:rsid w:val="00AC2016"/>
    <w:rsid w:val="00AD0BA6"/>
    <w:rsid w:val="00AD109C"/>
    <w:rsid w:val="00AD1D99"/>
    <w:rsid w:val="00AD29CB"/>
    <w:rsid w:val="00AD2E14"/>
    <w:rsid w:val="00AD3CF7"/>
    <w:rsid w:val="00AD719C"/>
    <w:rsid w:val="00AD76AB"/>
    <w:rsid w:val="00AE03FA"/>
    <w:rsid w:val="00AE0C8F"/>
    <w:rsid w:val="00AE2C4D"/>
    <w:rsid w:val="00AE3C5B"/>
    <w:rsid w:val="00AF63AC"/>
    <w:rsid w:val="00B027ED"/>
    <w:rsid w:val="00B04857"/>
    <w:rsid w:val="00B301CD"/>
    <w:rsid w:val="00B37A15"/>
    <w:rsid w:val="00B503C2"/>
    <w:rsid w:val="00B51EFE"/>
    <w:rsid w:val="00B52E6C"/>
    <w:rsid w:val="00B6173A"/>
    <w:rsid w:val="00B655D9"/>
    <w:rsid w:val="00B66330"/>
    <w:rsid w:val="00B72AB0"/>
    <w:rsid w:val="00BA719E"/>
    <w:rsid w:val="00BB63EA"/>
    <w:rsid w:val="00BC0E1F"/>
    <w:rsid w:val="00BD19DB"/>
    <w:rsid w:val="00BD24AA"/>
    <w:rsid w:val="00BD290D"/>
    <w:rsid w:val="00BD6DDE"/>
    <w:rsid w:val="00BE10FF"/>
    <w:rsid w:val="00BE7A2F"/>
    <w:rsid w:val="00C03B3C"/>
    <w:rsid w:val="00C04892"/>
    <w:rsid w:val="00C2722A"/>
    <w:rsid w:val="00C313B7"/>
    <w:rsid w:val="00C34EF4"/>
    <w:rsid w:val="00C36028"/>
    <w:rsid w:val="00C36E8A"/>
    <w:rsid w:val="00C40E67"/>
    <w:rsid w:val="00C41F42"/>
    <w:rsid w:val="00C441DC"/>
    <w:rsid w:val="00C45BF3"/>
    <w:rsid w:val="00C47364"/>
    <w:rsid w:val="00C54EEC"/>
    <w:rsid w:val="00C731B9"/>
    <w:rsid w:val="00C753B8"/>
    <w:rsid w:val="00C75C0B"/>
    <w:rsid w:val="00C8024D"/>
    <w:rsid w:val="00C80CDA"/>
    <w:rsid w:val="00C848F1"/>
    <w:rsid w:val="00C93E58"/>
    <w:rsid w:val="00CB1600"/>
    <w:rsid w:val="00CB7FB8"/>
    <w:rsid w:val="00CD6588"/>
    <w:rsid w:val="00CE25C1"/>
    <w:rsid w:val="00CE324D"/>
    <w:rsid w:val="00CF1BE0"/>
    <w:rsid w:val="00CF2B15"/>
    <w:rsid w:val="00CF33F6"/>
    <w:rsid w:val="00CF34A7"/>
    <w:rsid w:val="00D01394"/>
    <w:rsid w:val="00D02383"/>
    <w:rsid w:val="00D053FA"/>
    <w:rsid w:val="00D17B45"/>
    <w:rsid w:val="00D23A3D"/>
    <w:rsid w:val="00D30FA8"/>
    <w:rsid w:val="00D32561"/>
    <w:rsid w:val="00D3288E"/>
    <w:rsid w:val="00D3670C"/>
    <w:rsid w:val="00D83C1B"/>
    <w:rsid w:val="00DA005C"/>
    <w:rsid w:val="00DA65A7"/>
    <w:rsid w:val="00DB0B2F"/>
    <w:rsid w:val="00DB0BE3"/>
    <w:rsid w:val="00DB79C6"/>
    <w:rsid w:val="00DC2A05"/>
    <w:rsid w:val="00DC2B59"/>
    <w:rsid w:val="00DC3BE7"/>
    <w:rsid w:val="00DC75E6"/>
    <w:rsid w:val="00DD64CD"/>
    <w:rsid w:val="00DE1B2A"/>
    <w:rsid w:val="00E01C3E"/>
    <w:rsid w:val="00E03B00"/>
    <w:rsid w:val="00E30614"/>
    <w:rsid w:val="00E429C7"/>
    <w:rsid w:val="00E50548"/>
    <w:rsid w:val="00E52833"/>
    <w:rsid w:val="00E5390E"/>
    <w:rsid w:val="00E640D1"/>
    <w:rsid w:val="00E64929"/>
    <w:rsid w:val="00E65E30"/>
    <w:rsid w:val="00E72BC1"/>
    <w:rsid w:val="00E736EA"/>
    <w:rsid w:val="00E84DA4"/>
    <w:rsid w:val="00E9393A"/>
    <w:rsid w:val="00E95D4A"/>
    <w:rsid w:val="00E96A82"/>
    <w:rsid w:val="00EA23C9"/>
    <w:rsid w:val="00EA47A3"/>
    <w:rsid w:val="00EB171D"/>
    <w:rsid w:val="00EB6E73"/>
    <w:rsid w:val="00EC6F7E"/>
    <w:rsid w:val="00EE2A54"/>
    <w:rsid w:val="00EE3779"/>
    <w:rsid w:val="00EE5935"/>
    <w:rsid w:val="00EE6EBB"/>
    <w:rsid w:val="00EF714C"/>
    <w:rsid w:val="00F1136A"/>
    <w:rsid w:val="00F1244D"/>
    <w:rsid w:val="00F14488"/>
    <w:rsid w:val="00F274F6"/>
    <w:rsid w:val="00F34EA9"/>
    <w:rsid w:val="00F41D83"/>
    <w:rsid w:val="00F44FE4"/>
    <w:rsid w:val="00F63149"/>
    <w:rsid w:val="00F666F0"/>
    <w:rsid w:val="00F667F3"/>
    <w:rsid w:val="00F81408"/>
    <w:rsid w:val="00F82DC4"/>
    <w:rsid w:val="00F83935"/>
    <w:rsid w:val="00F95A8D"/>
    <w:rsid w:val="00F963FF"/>
    <w:rsid w:val="00FA2895"/>
    <w:rsid w:val="00FB2CF8"/>
    <w:rsid w:val="00FC4446"/>
    <w:rsid w:val="00FC5279"/>
    <w:rsid w:val="00FC6E2C"/>
    <w:rsid w:val="00FD790F"/>
    <w:rsid w:val="00FE077A"/>
    <w:rsid w:val="00FE3535"/>
    <w:rsid w:val="00FE44A0"/>
    <w:rsid w:val="00FE4AA9"/>
    <w:rsid w:val="00FE6398"/>
    <w:rsid w:val="00FF6261"/>
    <w:rsid w:val="00FF72C0"/>
    <w:rsid w:val="2FD732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D2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5D9D"/>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150052"/>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150052"/>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NormalWeb">
    <w:name w:val="Normal (Web)"/>
    <w:basedOn w:val="Normal"/>
    <w:uiPriority w:val="99"/>
    <w:semiHidden/>
    <w:unhideWhenUsed/>
    <w:rsid w:val="008E3EC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TableParagraph">
    <w:name w:val="Table Paragraph"/>
    <w:basedOn w:val="Normal"/>
    <w:uiPriority w:val="1"/>
    <w:qFormat/>
    <w:rsid w:val="00A31DE8"/>
    <w:pPr>
      <w:widowControl w:val="0"/>
      <w:autoSpaceDE w:val="0"/>
      <w:autoSpaceDN w:val="0"/>
      <w:spacing w:before="0" w:after="0" w:line="240" w:lineRule="auto"/>
    </w:pPr>
    <w:rPr>
      <w:rFonts w:ascii="Tahoma" w:eastAsia="Tahoma" w:hAnsi="Tahoma" w:cs="Tahoma"/>
      <w:lang w:val="en-US"/>
    </w:rPr>
  </w:style>
  <w:style w:type="paragraph" w:customStyle="1" w:styleId="Default">
    <w:name w:val="Default"/>
    <w:rsid w:val="008703F2"/>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E64929"/>
    <w:rPr>
      <w:color w:val="000000" w:themeColor="followedHyperlink"/>
      <w:u w:val="single"/>
    </w:rPr>
  </w:style>
  <w:style w:type="character" w:customStyle="1" w:styleId="UnresolvedMention1">
    <w:name w:val="Unresolved Mention1"/>
    <w:basedOn w:val="DefaultParagraphFont"/>
    <w:uiPriority w:val="99"/>
    <w:semiHidden/>
    <w:unhideWhenUsed/>
    <w:rsid w:val="00633ED6"/>
    <w:rPr>
      <w:color w:val="808080"/>
      <w:shd w:val="clear" w:color="auto" w:fill="E6E6E6"/>
    </w:rPr>
  </w:style>
  <w:style w:type="character" w:customStyle="1" w:styleId="UnresolvedMention">
    <w:name w:val="Unresolved Mention"/>
    <w:basedOn w:val="DefaultParagraphFont"/>
    <w:uiPriority w:val="99"/>
    <w:semiHidden/>
    <w:unhideWhenUsed/>
    <w:rsid w:val="002469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5D9D"/>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150052"/>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150052"/>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NormalWeb">
    <w:name w:val="Normal (Web)"/>
    <w:basedOn w:val="Normal"/>
    <w:uiPriority w:val="99"/>
    <w:semiHidden/>
    <w:unhideWhenUsed/>
    <w:rsid w:val="008E3EC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TableParagraph">
    <w:name w:val="Table Paragraph"/>
    <w:basedOn w:val="Normal"/>
    <w:uiPriority w:val="1"/>
    <w:qFormat/>
    <w:rsid w:val="00A31DE8"/>
    <w:pPr>
      <w:widowControl w:val="0"/>
      <w:autoSpaceDE w:val="0"/>
      <w:autoSpaceDN w:val="0"/>
      <w:spacing w:before="0" w:after="0" w:line="240" w:lineRule="auto"/>
    </w:pPr>
    <w:rPr>
      <w:rFonts w:ascii="Tahoma" w:eastAsia="Tahoma" w:hAnsi="Tahoma" w:cs="Tahoma"/>
      <w:lang w:val="en-US"/>
    </w:rPr>
  </w:style>
  <w:style w:type="paragraph" w:customStyle="1" w:styleId="Default">
    <w:name w:val="Default"/>
    <w:rsid w:val="008703F2"/>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E64929"/>
    <w:rPr>
      <w:color w:val="000000" w:themeColor="followedHyperlink"/>
      <w:u w:val="single"/>
    </w:rPr>
  </w:style>
  <w:style w:type="character" w:customStyle="1" w:styleId="UnresolvedMention1">
    <w:name w:val="Unresolved Mention1"/>
    <w:basedOn w:val="DefaultParagraphFont"/>
    <w:uiPriority w:val="99"/>
    <w:semiHidden/>
    <w:unhideWhenUsed/>
    <w:rsid w:val="00633ED6"/>
    <w:rPr>
      <w:color w:val="808080"/>
      <w:shd w:val="clear" w:color="auto" w:fill="E6E6E6"/>
    </w:rPr>
  </w:style>
  <w:style w:type="character" w:customStyle="1" w:styleId="UnresolvedMention">
    <w:name w:val="Unresolved Mention"/>
    <w:basedOn w:val="DefaultParagraphFont"/>
    <w:uiPriority w:val="99"/>
    <w:semiHidden/>
    <w:unhideWhenUsed/>
    <w:rsid w:val="00246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381">
      <w:bodyDiv w:val="1"/>
      <w:marLeft w:val="0"/>
      <w:marRight w:val="0"/>
      <w:marTop w:val="0"/>
      <w:marBottom w:val="0"/>
      <w:divBdr>
        <w:top w:val="none" w:sz="0" w:space="0" w:color="auto"/>
        <w:left w:val="none" w:sz="0" w:space="0" w:color="auto"/>
        <w:bottom w:val="none" w:sz="0" w:space="0" w:color="auto"/>
        <w:right w:val="none" w:sz="0" w:space="0" w:color="auto"/>
      </w:divBdr>
    </w:div>
    <w:div w:id="837960719">
      <w:bodyDiv w:val="1"/>
      <w:marLeft w:val="0"/>
      <w:marRight w:val="0"/>
      <w:marTop w:val="0"/>
      <w:marBottom w:val="0"/>
      <w:divBdr>
        <w:top w:val="none" w:sz="0" w:space="0" w:color="auto"/>
        <w:left w:val="none" w:sz="0" w:space="0" w:color="auto"/>
        <w:bottom w:val="none" w:sz="0" w:space="0" w:color="auto"/>
        <w:right w:val="none" w:sz="0" w:space="0" w:color="auto"/>
      </w:divBdr>
    </w:div>
    <w:div w:id="101989463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59945526">
      <w:bodyDiv w:val="1"/>
      <w:marLeft w:val="0"/>
      <w:marRight w:val="0"/>
      <w:marTop w:val="0"/>
      <w:marBottom w:val="0"/>
      <w:divBdr>
        <w:top w:val="none" w:sz="0" w:space="0" w:color="auto"/>
        <w:left w:val="none" w:sz="0" w:space="0" w:color="auto"/>
        <w:bottom w:val="none" w:sz="0" w:space="0" w:color="auto"/>
        <w:right w:val="none" w:sz="0" w:space="0" w:color="auto"/>
      </w:divBdr>
    </w:div>
    <w:div w:id="1319532102">
      <w:bodyDiv w:val="1"/>
      <w:marLeft w:val="0"/>
      <w:marRight w:val="0"/>
      <w:marTop w:val="0"/>
      <w:marBottom w:val="0"/>
      <w:divBdr>
        <w:top w:val="none" w:sz="0" w:space="0" w:color="auto"/>
        <w:left w:val="none" w:sz="0" w:space="0" w:color="auto"/>
        <w:bottom w:val="none" w:sz="0" w:space="0" w:color="auto"/>
        <w:right w:val="none" w:sz="0" w:space="0" w:color="auto"/>
      </w:divBdr>
    </w:div>
    <w:div w:id="1485589259">
      <w:bodyDiv w:val="1"/>
      <w:marLeft w:val="0"/>
      <w:marRight w:val="0"/>
      <w:marTop w:val="0"/>
      <w:marBottom w:val="0"/>
      <w:divBdr>
        <w:top w:val="none" w:sz="0" w:space="0" w:color="auto"/>
        <w:left w:val="none" w:sz="0" w:space="0" w:color="auto"/>
        <w:bottom w:val="none" w:sz="0" w:space="0" w:color="auto"/>
        <w:right w:val="none" w:sz="0" w:space="0" w:color="auto"/>
      </w:divBdr>
    </w:div>
    <w:div w:id="1591542275">
      <w:bodyDiv w:val="1"/>
      <w:marLeft w:val="0"/>
      <w:marRight w:val="0"/>
      <w:marTop w:val="0"/>
      <w:marBottom w:val="0"/>
      <w:divBdr>
        <w:top w:val="none" w:sz="0" w:space="0" w:color="auto"/>
        <w:left w:val="none" w:sz="0" w:space="0" w:color="auto"/>
        <w:bottom w:val="none" w:sz="0" w:space="0" w:color="auto"/>
        <w:right w:val="none" w:sz="0" w:space="0" w:color="auto"/>
      </w:divBdr>
      <w:divsChild>
        <w:div w:id="1663393434">
          <w:marLeft w:val="446"/>
          <w:marRight w:val="0"/>
          <w:marTop w:val="0"/>
          <w:marBottom w:val="0"/>
          <w:divBdr>
            <w:top w:val="none" w:sz="0" w:space="0" w:color="auto"/>
            <w:left w:val="none" w:sz="0" w:space="0" w:color="auto"/>
            <w:bottom w:val="none" w:sz="0" w:space="0" w:color="auto"/>
            <w:right w:val="none" w:sz="0" w:space="0" w:color="auto"/>
          </w:divBdr>
        </w:div>
      </w:divsChild>
    </w:div>
    <w:div w:id="1608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ORP\users\MKT\skoski\ESC\&#8226;%09https:\www.powercor.com.au\industry\supplier-resources\contestable-works\whats-new\"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powercor.com.au/industry/supplier-%20resources/contestable-works/whats-new/"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media.powercor.com.au/wp-content/uploads/2019/05/07121939/Webpage-tie-in-informatio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owercor.com.au/industry/supplier-resources/contestable-works/" TargetMode="External"/><Relationship Id="rId20" Type="http://schemas.openxmlformats.org/officeDocument/2006/relationships/hyperlink" Target="https://media.powercor.com.au/wp-content/uploads/2019/06/17124710/Industry-Forum-Option-2-minute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esi.com.au/index.php/vedn-civil-work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ntestable@powercor.com.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alkingelectricity.com.au/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powercor.com.au/industry/supplier-resources/contestable-works/whats-new/"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181B6F28E04EAE0E9578C5D561CD" ma:contentTypeVersion="2" ma:contentTypeDescription="Create a new document." ma:contentTypeScope="" ma:versionID="d3fee30e504b28502a44f3211d964e7c">
  <xsd:schema xmlns:xsd="http://www.w3.org/2001/XMLSchema" xmlns:xs="http://www.w3.org/2001/XMLSchema" xmlns:p="http://schemas.microsoft.com/office/2006/metadata/properties" xmlns:ns2="c283b719-1b1b-4b4d-aa0a-36d7b739279a" targetNamespace="http://schemas.microsoft.com/office/2006/metadata/properties" ma:root="true" ma:fieldsID="53f70e65b34e7b70a89ebc8202d14aa6" ns2:_="">
    <xsd:import namespace="c283b719-1b1b-4b4d-aa0a-36d7b73927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3b719-1b1b-4b4d-aa0a-36d7b7392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3279-B73E-4002-80C6-DDB35399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3b719-1b1b-4b4d-aa0a-36d7b73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94A20-0B6A-4FF0-A4F6-B4D9D1E11078}">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283b719-1b1b-4b4d-aa0a-36d7b739279a"/>
    <ds:schemaRef ds:uri="http://www.w3.org/XML/1998/namespace"/>
  </ds:schemaRefs>
</ds:datastoreItem>
</file>

<file path=customXml/itemProps3.xml><?xml version="1.0" encoding="utf-8"?>
<ds:datastoreItem xmlns:ds="http://schemas.openxmlformats.org/officeDocument/2006/customXml" ds:itemID="{0DCFDC95-AB86-4C48-ACED-E034E84BDFF4}">
  <ds:schemaRefs>
    <ds:schemaRef ds:uri="http://schemas.microsoft.com/sharepoint/v3/contenttype/forms"/>
  </ds:schemaRefs>
</ds:datastoreItem>
</file>

<file path=customXml/itemProps4.xml><?xml version="1.0" encoding="utf-8"?>
<ds:datastoreItem xmlns:ds="http://schemas.openxmlformats.org/officeDocument/2006/customXml" ds:itemID="{1935EF91-2185-41DC-A56E-3B028C6A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15</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Reporting Template</vt:lpstr>
    </vt:vector>
  </TitlesOfParts>
  <Company>Essential Services Commission</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Template</dc:title>
  <dc:creator>Merryn Wilson</dc:creator>
  <cp:lastModifiedBy>Matthew Thomas</cp:lastModifiedBy>
  <cp:revision>7</cp:revision>
  <cp:lastPrinted>2019-05-07T07:43:00Z</cp:lastPrinted>
  <dcterms:created xsi:type="dcterms:W3CDTF">2020-02-21T05:02:00Z</dcterms:created>
  <dcterms:modified xsi:type="dcterms:W3CDTF">2020-05-01T04:29:00Z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0x0101007263181B6F28E04EAE0E9578C5D561CD</vt:lpwstr>
  </property>
</Properties>
</file>